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6C6" w:rsidRPr="008110BA" w:rsidRDefault="00F80D79" w:rsidP="003A6E41">
      <w:pPr>
        <w:tabs>
          <w:tab w:val="left" w:pos="800"/>
        </w:tabs>
        <w:spacing w:line="360" w:lineRule="auto"/>
        <w:jc w:val="center"/>
        <w:rPr>
          <w:rFonts w:ascii="Arial TUR" w:hAnsi="Arial TUR" w:cs="David"/>
          <w:b/>
          <w:bCs/>
          <w:color w:val="000080"/>
          <w:sz w:val="28"/>
          <w:szCs w:val="32"/>
          <w:rtl/>
        </w:rPr>
      </w:pPr>
      <w:r w:rsidRPr="008110BA">
        <w:rPr>
          <w:rFonts w:ascii="Arial TUR" w:hAnsi="Arial TUR" w:cs="David" w:hint="cs"/>
          <w:b/>
          <w:bCs/>
          <w:color w:val="000080"/>
          <w:sz w:val="28"/>
          <w:szCs w:val="32"/>
          <w:rtl/>
        </w:rPr>
        <w:t>בית המשפט העליון</w:t>
      </w:r>
    </w:p>
    <w:p w:rsidR="004D26C6" w:rsidRPr="00414149" w:rsidRDefault="00E00A0F" w:rsidP="00094D8B">
      <w:pPr>
        <w:pStyle w:val="Ruller4"/>
        <w:numPr>
          <w:ilvl w:val="0"/>
          <w:numId w:val="0"/>
        </w:numPr>
        <w:ind w:left="141"/>
        <w:jc w:val="center"/>
        <w:rPr>
          <w:rFonts w:ascii="FrankRuehl" w:hAnsi="FrankRuehl" w:cs="David"/>
          <w:bCs/>
          <w:spacing w:val="0"/>
          <w:sz w:val="28"/>
          <w:u w:val="single"/>
          <w:rtl/>
        </w:rPr>
      </w:pPr>
      <w:bookmarkStart w:id="0" w:name="_GoBack"/>
      <w:r w:rsidRPr="008110BA">
        <w:rPr>
          <w:rFonts w:ascii="FrankRuehl" w:hAnsi="FrankRuehl" w:cs="David" w:hint="cs"/>
          <w:bCs/>
          <w:spacing w:val="0"/>
          <w:sz w:val="28"/>
          <w:u w:val="single"/>
          <w:rtl/>
        </w:rPr>
        <w:t>בג"ץ</w:t>
      </w:r>
      <w:r w:rsidR="00834194" w:rsidRPr="008110BA">
        <w:rPr>
          <w:rFonts w:ascii="FrankRuehl" w:hAnsi="FrankRuehl" w:cs="David" w:hint="cs"/>
          <w:bCs/>
          <w:spacing w:val="0"/>
          <w:sz w:val="28"/>
          <w:u w:val="single"/>
          <w:rtl/>
        </w:rPr>
        <w:t xml:space="preserve"> </w:t>
      </w:r>
      <w:r w:rsidR="00094D8B">
        <w:rPr>
          <w:rFonts w:ascii="FrankRuehl" w:hAnsi="FrankRuehl" w:cs="David" w:hint="cs"/>
          <w:bCs/>
          <w:spacing w:val="0"/>
          <w:sz w:val="28"/>
          <w:u w:val="single"/>
          <w:rtl/>
        </w:rPr>
        <w:t>5158/21</w:t>
      </w:r>
      <w:r w:rsidR="00EE7F73" w:rsidRPr="008110BA">
        <w:rPr>
          <w:rFonts w:ascii="FrankRuehl" w:hAnsi="FrankRuehl" w:cs="David" w:hint="cs"/>
          <w:bCs/>
          <w:spacing w:val="0"/>
          <w:sz w:val="28"/>
          <w:u w:val="single"/>
          <w:rtl/>
        </w:rPr>
        <w:t xml:space="preserve"> </w:t>
      </w:r>
      <w:proofErr w:type="spellStart"/>
      <w:r w:rsidR="00094D8B">
        <w:rPr>
          <w:rFonts w:ascii="FrankRuehl" w:hAnsi="FrankRuehl" w:cs="David" w:hint="cs"/>
          <w:bCs/>
          <w:spacing w:val="0"/>
          <w:sz w:val="28"/>
          <w:u w:val="single"/>
          <w:rtl/>
        </w:rPr>
        <w:t>גורטלר</w:t>
      </w:r>
      <w:proofErr w:type="spellEnd"/>
      <w:r w:rsidR="00C95C10" w:rsidRPr="00414149">
        <w:rPr>
          <w:rFonts w:ascii="FrankRuehl" w:hAnsi="FrankRuehl" w:cs="David" w:hint="cs"/>
          <w:bCs/>
          <w:spacing w:val="0"/>
          <w:sz w:val="28"/>
          <w:u w:val="single"/>
          <w:rtl/>
        </w:rPr>
        <w:t xml:space="preserve"> </w:t>
      </w:r>
      <w:r w:rsidR="00094D8B">
        <w:rPr>
          <w:rFonts w:ascii="FrankRuehl" w:hAnsi="FrankRuehl" w:cs="David" w:hint="cs"/>
          <w:bCs/>
          <w:spacing w:val="0"/>
          <w:sz w:val="28"/>
          <w:u w:val="single"/>
          <w:rtl/>
        </w:rPr>
        <w:t>נ' שר הרווחה</w:t>
      </w:r>
      <w:bookmarkEnd w:id="0"/>
    </w:p>
    <w:p w:rsidR="00745B38" w:rsidRPr="004D4ABF" w:rsidRDefault="00745B38" w:rsidP="003A6E41">
      <w:pPr>
        <w:tabs>
          <w:tab w:val="left" w:pos="800"/>
        </w:tabs>
        <w:spacing w:line="360" w:lineRule="auto"/>
        <w:jc w:val="both"/>
        <w:rPr>
          <w:rFonts w:cs="David"/>
          <w:b/>
          <w:bCs/>
          <w:sz w:val="28"/>
          <w:u w:val="single"/>
          <w:rtl/>
        </w:rPr>
      </w:pPr>
    </w:p>
    <w:p w:rsidR="00D61310" w:rsidRPr="008110BA" w:rsidRDefault="00DE3727" w:rsidP="00D61310">
      <w:pPr>
        <w:pStyle w:val="Ruller41"/>
        <w:rPr>
          <w:rFonts w:cs="David"/>
          <w:sz w:val="24"/>
          <w:szCs w:val="24"/>
          <w:rtl/>
        </w:rPr>
      </w:pPr>
      <w:r w:rsidRPr="00A17BCB">
        <w:rPr>
          <w:rFonts w:cs="David" w:hint="eastAsia"/>
          <w:b/>
          <w:bCs/>
          <w:sz w:val="24"/>
          <w:szCs w:val="24"/>
          <w:u w:val="single"/>
          <w:rtl/>
        </w:rPr>
        <w:t>תאריך</w:t>
      </w:r>
      <w:r w:rsidRPr="00A17BCB">
        <w:rPr>
          <w:rFonts w:cs="David"/>
          <w:b/>
          <w:bCs/>
          <w:sz w:val="24"/>
          <w:szCs w:val="24"/>
          <w:u w:val="single"/>
          <w:rtl/>
        </w:rPr>
        <w:t xml:space="preserve"> </w:t>
      </w:r>
      <w:r w:rsidRPr="00A17BCB">
        <w:rPr>
          <w:rFonts w:cs="David" w:hint="eastAsia"/>
          <w:b/>
          <w:bCs/>
          <w:sz w:val="24"/>
          <w:szCs w:val="24"/>
          <w:u w:val="single"/>
          <w:rtl/>
        </w:rPr>
        <w:t>מתן</w:t>
      </w:r>
      <w:r w:rsidRPr="00A17BCB">
        <w:rPr>
          <w:rFonts w:cs="David"/>
          <w:b/>
          <w:bCs/>
          <w:sz w:val="24"/>
          <w:szCs w:val="24"/>
          <w:u w:val="single"/>
          <w:rtl/>
        </w:rPr>
        <w:t xml:space="preserve"> </w:t>
      </w:r>
      <w:r w:rsidRPr="00A17BCB">
        <w:rPr>
          <w:rFonts w:cs="David" w:hint="eastAsia"/>
          <w:b/>
          <w:bCs/>
          <w:sz w:val="24"/>
          <w:szCs w:val="24"/>
          <w:u w:val="single"/>
          <w:rtl/>
        </w:rPr>
        <w:t>פסק</w:t>
      </w:r>
      <w:r w:rsidRPr="00A17BCB">
        <w:rPr>
          <w:rFonts w:cs="David"/>
          <w:b/>
          <w:bCs/>
          <w:sz w:val="24"/>
          <w:szCs w:val="24"/>
          <w:u w:val="single"/>
          <w:rtl/>
        </w:rPr>
        <w:t xml:space="preserve"> </w:t>
      </w:r>
      <w:r w:rsidRPr="00A17BCB">
        <w:rPr>
          <w:rFonts w:cs="David" w:hint="eastAsia"/>
          <w:b/>
          <w:bCs/>
          <w:sz w:val="24"/>
          <w:szCs w:val="24"/>
          <w:u w:val="single"/>
          <w:rtl/>
        </w:rPr>
        <w:t>הדין</w:t>
      </w:r>
      <w:r w:rsidRPr="00A17BCB">
        <w:rPr>
          <w:rFonts w:cs="David"/>
          <w:b/>
          <w:bCs/>
          <w:sz w:val="24"/>
          <w:szCs w:val="24"/>
          <w:rtl/>
        </w:rPr>
        <w:t>:</w:t>
      </w:r>
      <w:r w:rsidRPr="00A17BCB">
        <w:rPr>
          <w:rFonts w:cs="David"/>
          <w:sz w:val="24"/>
          <w:szCs w:val="24"/>
          <w:rtl/>
        </w:rPr>
        <w:t xml:space="preserve"> </w:t>
      </w:r>
      <w:r w:rsidR="00D61310" w:rsidRPr="00A17BCB">
        <w:rPr>
          <w:rFonts w:cs="David" w:hint="eastAsia"/>
          <w:sz w:val="24"/>
          <w:szCs w:val="24"/>
          <w:rtl/>
        </w:rPr>
        <w:t>‏ט</w:t>
      </w:r>
      <w:r w:rsidR="00D61310" w:rsidRPr="00A17BCB">
        <w:rPr>
          <w:rFonts w:cs="David"/>
          <w:sz w:val="24"/>
          <w:szCs w:val="24"/>
          <w:rtl/>
        </w:rPr>
        <w:t>"ז בטבת</w:t>
      </w:r>
      <w:r w:rsidR="00D61310">
        <w:rPr>
          <w:rFonts w:cs="David"/>
          <w:sz w:val="24"/>
          <w:szCs w:val="24"/>
          <w:rtl/>
        </w:rPr>
        <w:t xml:space="preserve"> </w:t>
      </w:r>
      <w:proofErr w:type="spellStart"/>
      <w:r w:rsidR="00D61310">
        <w:rPr>
          <w:rFonts w:cs="David"/>
          <w:sz w:val="24"/>
          <w:szCs w:val="24"/>
          <w:rtl/>
        </w:rPr>
        <w:t>התשפ"ד</w:t>
      </w:r>
      <w:proofErr w:type="spellEnd"/>
      <w:r w:rsidR="00D61310">
        <w:rPr>
          <w:rFonts w:cs="David"/>
          <w:sz w:val="24"/>
          <w:szCs w:val="24"/>
          <w:rtl/>
        </w:rPr>
        <w:t xml:space="preserve"> (</w:t>
      </w:r>
      <w:r w:rsidR="00D61310">
        <w:rPr>
          <w:rFonts w:cs="David" w:hint="eastAsia"/>
          <w:sz w:val="24"/>
          <w:szCs w:val="24"/>
          <w:rtl/>
        </w:rPr>
        <w:t>‏</w:t>
      </w:r>
      <w:r w:rsidR="00D61310">
        <w:rPr>
          <w:rFonts w:cs="David"/>
          <w:sz w:val="24"/>
          <w:szCs w:val="24"/>
          <w:rtl/>
        </w:rPr>
        <w:t>28.12.2023).</w:t>
      </w:r>
    </w:p>
    <w:p w:rsidR="00DE3727" w:rsidRPr="008110BA" w:rsidRDefault="00DE3727" w:rsidP="003A6E41">
      <w:pPr>
        <w:pStyle w:val="Ruller41"/>
        <w:rPr>
          <w:rFonts w:cs="David"/>
          <w:b/>
          <w:bCs/>
          <w:sz w:val="24"/>
          <w:szCs w:val="24"/>
          <w:u w:val="single"/>
          <w:rtl/>
        </w:rPr>
      </w:pPr>
    </w:p>
    <w:p w:rsidR="006527D4" w:rsidRDefault="00DE3727" w:rsidP="00E10B83">
      <w:pPr>
        <w:pStyle w:val="Ruller41"/>
        <w:rPr>
          <w:rFonts w:cs="David"/>
          <w:sz w:val="24"/>
          <w:szCs w:val="24"/>
          <w:rtl/>
        </w:rPr>
      </w:pPr>
      <w:r w:rsidRPr="008110BA">
        <w:rPr>
          <w:rFonts w:cs="David" w:hint="eastAsia"/>
          <w:b/>
          <w:bCs/>
          <w:sz w:val="24"/>
          <w:szCs w:val="24"/>
          <w:u w:val="single"/>
          <w:rtl/>
        </w:rPr>
        <w:t>הרכב</w:t>
      </w:r>
      <w:r w:rsidRPr="008110BA">
        <w:rPr>
          <w:rFonts w:cs="David"/>
          <w:b/>
          <w:bCs/>
          <w:sz w:val="24"/>
          <w:szCs w:val="24"/>
          <w:u w:val="single"/>
          <w:rtl/>
        </w:rPr>
        <w:t xml:space="preserve"> </w:t>
      </w:r>
      <w:r w:rsidRPr="008110BA">
        <w:rPr>
          <w:rFonts w:cs="David" w:hint="eastAsia"/>
          <w:b/>
          <w:bCs/>
          <w:sz w:val="24"/>
          <w:szCs w:val="24"/>
          <w:u w:val="single"/>
          <w:rtl/>
        </w:rPr>
        <w:t>השופטים</w:t>
      </w:r>
      <w:r w:rsidRPr="008110BA">
        <w:rPr>
          <w:rFonts w:cs="David"/>
          <w:b/>
          <w:bCs/>
          <w:sz w:val="24"/>
          <w:szCs w:val="24"/>
          <w:rtl/>
        </w:rPr>
        <w:t>:</w:t>
      </w:r>
      <w:r w:rsidR="00094D8B">
        <w:rPr>
          <w:rFonts w:cs="David"/>
          <w:sz w:val="24"/>
          <w:szCs w:val="24"/>
          <w:rtl/>
        </w:rPr>
        <w:t xml:space="preserve"> מ</w:t>
      </w:r>
      <w:r w:rsidR="00094D8B">
        <w:rPr>
          <w:rFonts w:cs="David" w:hint="cs"/>
          <w:sz w:val="24"/>
          <w:szCs w:val="24"/>
          <w:rtl/>
        </w:rPr>
        <w:t>מלא מקום הנשיא</w:t>
      </w:r>
      <w:r w:rsidR="00094D8B">
        <w:rPr>
          <w:rFonts w:cs="David"/>
          <w:sz w:val="24"/>
          <w:szCs w:val="24"/>
          <w:rtl/>
        </w:rPr>
        <w:t xml:space="preserve"> ע' פוגלמן, השופט </w:t>
      </w:r>
      <w:r w:rsidR="00094D8B">
        <w:rPr>
          <w:rFonts w:cs="David" w:hint="cs"/>
          <w:sz w:val="24"/>
          <w:szCs w:val="24"/>
          <w:rtl/>
        </w:rPr>
        <w:t>א</w:t>
      </w:r>
      <w:r w:rsidR="00094D8B">
        <w:rPr>
          <w:rFonts w:cs="David"/>
          <w:sz w:val="24"/>
          <w:szCs w:val="24"/>
          <w:rtl/>
        </w:rPr>
        <w:t>'</w:t>
      </w:r>
      <w:r w:rsidR="00094D8B">
        <w:rPr>
          <w:rFonts w:cs="David" w:hint="cs"/>
          <w:sz w:val="24"/>
          <w:szCs w:val="24"/>
          <w:rtl/>
        </w:rPr>
        <w:t xml:space="preserve"> שטיין, השופטת ג' כנפי-שטייניץ</w:t>
      </w:r>
      <w:r w:rsidR="00E00A0F" w:rsidRPr="008110BA">
        <w:rPr>
          <w:rFonts w:cs="David"/>
          <w:sz w:val="24"/>
          <w:szCs w:val="24"/>
          <w:rtl/>
        </w:rPr>
        <w:t>.</w:t>
      </w:r>
      <w:r w:rsidR="006527D4" w:rsidRPr="008110BA">
        <w:rPr>
          <w:rFonts w:cs="David"/>
          <w:sz w:val="24"/>
          <w:szCs w:val="24"/>
          <w:rtl/>
        </w:rPr>
        <w:t xml:space="preserve"> </w:t>
      </w:r>
    </w:p>
    <w:p w:rsidR="00E10B83" w:rsidRPr="008110BA" w:rsidRDefault="00E10B83" w:rsidP="00E10B83">
      <w:pPr>
        <w:pStyle w:val="Ruller41"/>
        <w:rPr>
          <w:rFonts w:cs="David"/>
          <w:sz w:val="24"/>
          <w:szCs w:val="24"/>
          <w:rtl/>
        </w:rPr>
      </w:pPr>
    </w:p>
    <w:p w:rsidR="00E00A0F" w:rsidRDefault="00403ED9" w:rsidP="00DB61B0">
      <w:pPr>
        <w:pStyle w:val="Ruller41"/>
        <w:rPr>
          <w:rFonts w:ascii="Calibri" w:eastAsia="Calibri" w:hAnsi="Calibri" w:cs="David"/>
          <w:b/>
          <w:bCs/>
          <w:spacing w:val="0"/>
          <w:sz w:val="24"/>
          <w:szCs w:val="24"/>
          <w:rtl/>
        </w:rPr>
      </w:pPr>
      <w:r w:rsidRPr="008110BA">
        <w:rPr>
          <w:rFonts w:ascii="Calibri" w:eastAsia="Calibri" w:hAnsi="Calibri" w:cs="David" w:hint="eastAsia"/>
          <w:b/>
          <w:bCs/>
          <w:spacing w:val="0"/>
          <w:sz w:val="24"/>
          <w:szCs w:val="24"/>
          <w:rtl/>
        </w:rPr>
        <w:t>בית</w:t>
      </w:r>
      <w:r w:rsidRPr="008110BA">
        <w:rPr>
          <w:rFonts w:ascii="Calibri" w:eastAsia="Calibri" w:hAnsi="Calibri" w:cs="David"/>
          <w:b/>
          <w:bCs/>
          <w:spacing w:val="0"/>
          <w:sz w:val="24"/>
          <w:szCs w:val="24"/>
          <w:rtl/>
        </w:rPr>
        <w:t xml:space="preserve"> המשפט העליון </w:t>
      </w:r>
      <w:r w:rsidRPr="008110BA">
        <w:rPr>
          <w:rFonts w:ascii="Calibri" w:eastAsia="Calibri" w:hAnsi="Calibri" w:cs="David" w:hint="eastAsia"/>
          <w:b/>
          <w:bCs/>
          <w:spacing w:val="0"/>
          <w:sz w:val="24"/>
          <w:szCs w:val="24"/>
          <w:rtl/>
        </w:rPr>
        <w:t>קבע</w:t>
      </w:r>
      <w:r w:rsidRPr="008110BA">
        <w:rPr>
          <w:rFonts w:ascii="Calibri" w:eastAsia="Calibri" w:hAnsi="Calibri" w:cs="David"/>
          <w:b/>
          <w:bCs/>
          <w:spacing w:val="0"/>
          <w:sz w:val="24"/>
          <w:szCs w:val="24"/>
          <w:rtl/>
        </w:rPr>
        <w:t xml:space="preserve"> פה אחד כי </w:t>
      </w:r>
      <w:r w:rsidR="00DB61B0">
        <w:rPr>
          <w:rFonts w:ascii="Calibri" w:eastAsia="Calibri" w:hAnsi="Calibri" w:cs="David" w:hint="cs"/>
          <w:b/>
          <w:bCs/>
          <w:spacing w:val="0"/>
          <w:sz w:val="24"/>
          <w:szCs w:val="24"/>
          <w:rtl/>
        </w:rPr>
        <w:t>בני זוג מאותו המין כשירים לאמץ ילדים בהתאם ל</w:t>
      </w:r>
      <w:r w:rsidR="00094D8B">
        <w:rPr>
          <w:rFonts w:ascii="Calibri" w:eastAsia="Calibri" w:hAnsi="Calibri" w:cs="David" w:hint="cs"/>
          <w:b/>
          <w:bCs/>
          <w:spacing w:val="0"/>
          <w:sz w:val="24"/>
          <w:szCs w:val="24"/>
          <w:rtl/>
        </w:rPr>
        <w:t>סעיף 3</w:t>
      </w:r>
      <w:r w:rsidR="00094D8B" w:rsidRPr="00094D8B">
        <w:rPr>
          <w:rFonts w:ascii="Calibri" w:eastAsia="Calibri" w:hAnsi="Calibri" w:cs="David" w:hint="cs"/>
          <w:b/>
          <w:bCs/>
          <w:spacing w:val="0"/>
          <w:sz w:val="24"/>
          <w:szCs w:val="24"/>
          <w:rtl/>
        </w:rPr>
        <w:t xml:space="preserve"> לחוק אימוץ ילדים, התשמ"א-1981</w:t>
      </w:r>
      <w:r w:rsidR="00E00A0F" w:rsidRPr="008110BA">
        <w:rPr>
          <w:rFonts w:ascii="Calibri" w:eastAsia="Calibri" w:hAnsi="Calibri" w:cs="David"/>
          <w:b/>
          <w:bCs/>
          <w:spacing w:val="0"/>
          <w:sz w:val="24"/>
          <w:szCs w:val="24"/>
          <w:rtl/>
        </w:rPr>
        <w:t>.</w:t>
      </w:r>
      <w:r w:rsidRPr="008110BA">
        <w:rPr>
          <w:rFonts w:ascii="Calibri" w:eastAsia="Calibri" w:hAnsi="Calibri" w:cs="David"/>
          <w:b/>
          <w:bCs/>
          <w:spacing w:val="0"/>
          <w:sz w:val="24"/>
          <w:szCs w:val="24"/>
          <w:rtl/>
        </w:rPr>
        <w:t xml:space="preserve"> </w:t>
      </w:r>
    </w:p>
    <w:p w:rsidR="00094D8B" w:rsidRDefault="00094D8B" w:rsidP="00094D8B">
      <w:pPr>
        <w:pStyle w:val="Ruller41"/>
        <w:rPr>
          <w:rFonts w:ascii="Calibri" w:eastAsia="Calibri" w:hAnsi="Calibri" w:cs="David"/>
          <w:b/>
          <w:bCs/>
          <w:spacing w:val="0"/>
          <w:sz w:val="24"/>
          <w:szCs w:val="24"/>
          <w:rtl/>
        </w:rPr>
      </w:pPr>
    </w:p>
    <w:p w:rsidR="003F0980" w:rsidRDefault="00094D8B" w:rsidP="001D026E">
      <w:pPr>
        <w:pStyle w:val="Ruller41"/>
        <w:rPr>
          <w:rFonts w:ascii="Calibri" w:eastAsia="Calibri" w:hAnsi="Calibri" w:cs="David"/>
          <w:spacing w:val="0"/>
          <w:sz w:val="24"/>
          <w:szCs w:val="24"/>
          <w:rtl/>
        </w:rPr>
      </w:pPr>
      <w:r w:rsidRPr="00094D8B">
        <w:rPr>
          <w:rFonts w:ascii="Calibri" w:eastAsia="Calibri" w:hAnsi="Calibri" w:cs="David" w:hint="cs"/>
          <w:spacing w:val="0"/>
          <w:sz w:val="24"/>
          <w:szCs w:val="24"/>
          <w:rtl/>
        </w:rPr>
        <w:t xml:space="preserve">סעיף 3 </w:t>
      </w:r>
      <w:r>
        <w:rPr>
          <w:rFonts w:ascii="Calibri" w:eastAsia="Calibri" w:hAnsi="Calibri" w:cs="David" w:hint="cs"/>
          <w:spacing w:val="0"/>
          <w:sz w:val="24"/>
          <w:szCs w:val="24"/>
          <w:rtl/>
        </w:rPr>
        <w:t>לחוק אימוץ ילדים קובע את תנאי הכשירות לאמץ</w:t>
      </w:r>
      <w:r w:rsidR="00814438">
        <w:rPr>
          <w:rFonts w:ascii="Calibri" w:eastAsia="Calibri" w:hAnsi="Calibri" w:cs="David" w:hint="cs"/>
          <w:spacing w:val="0"/>
          <w:sz w:val="24"/>
          <w:szCs w:val="24"/>
          <w:rtl/>
        </w:rPr>
        <w:t xml:space="preserve">, ובהם התנאי </w:t>
      </w:r>
      <w:r>
        <w:rPr>
          <w:rFonts w:ascii="Calibri" w:eastAsia="Calibri" w:hAnsi="Calibri" w:cs="David" w:hint="cs"/>
          <w:spacing w:val="0"/>
          <w:sz w:val="24"/>
          <w:szCs w:val="24"/>
          <w:rtl/>
        </w:rPr>
        <w:t xml:space="preserve">כי </w:t>
      </w:r>
      <w:r w:rsidRPr="00094D8B">
        <w:rPr>
          <w:rFonts w:ascii="Calibri" w:eastAsia="Calibri" w:hAnsi="Calibri" w:cs="David" w:hint="cs"/>
          <w:spacing w:val="0"/>
          <w:sz w:val="24"/>
          <w:szCs w:val="24"/>
          <w:rtl/>
        </w:rPr>
        <w:t>"</w:t>
      </w:r>
      <w:r w:rsidRPr="00094D8B">
        <w:rPr>
          <w:rFonts w:ascii="Calibri" w:eastAsia="Calibri" w:hAnsi="Calibri" w:cs="David"/>
          <w:spacing w:val="0"/>
          <w:sz w:val="24"/>
          <w:szCs w:val="24"/>
          <w:rtl/>
        </w:rPr>
        <w:t>אין אימוץ אלא על ידי איש ואשתו יחד</w:t>
      </w:r>
      <w:r w:rsidRPr="00094D8B">
        <w:rPr>
          <w:rFonts w:ascii="Calibri" w:eastAsia="Calibri" w:hAnsi="Calibri" w:cs="David" w:hint="cs"/>
          <w:spacing w:val="0"/>
          <w:sz w:val="24"/>
          <w:szCs w:val="24"/>
          <w:rtl/>
        </w:rPr>
        <w:t>"</w:t>
      </w:r>
      <w:r>
        <w:rPr>
          <w:rFonts w:ascii="Calibri" w:eastAsia="Calibri" w:hAnsi="Calibri" w:cs="David" w:hint="cs"/>
          <w:spacing w:val="0"/>
          <w:sz w:val="24"/>
          <w:szCs w:val="24"/>
          <w:rtl/>
        </w:rPr>
        <w:t xml:space="preserve">. הפרשנות </w:t>
      </w:r>
      <w:r w:rsidR="00DB61B0">
        <w:rPr>
          <w:rFonts w:ascii="Calibri" w:eastAsia="Calibri" w:hAnsi="Calibri" w:cs="David" w:hint="cs"/>
          <w:spacing w:val="0"/>
          <w:sz w:val="24"/>
          <w:szCs w:val="24"/>
          <w:rtl/>
        </w:rPr>
        <w:t xml:space="preserve">שהייתה נהוגה </w:t>
      </w:r>
      <w:r w:rsidR="001F2422">
        <w:rPr>
          <w:rFonts w:ascii="Calibri" w:eastAsia="Calibri" w:hAnsi="Calibri" w:cs="David" w:hint="cs"/>
          <w:spacing w:val="0"/>
          <w:sz w:val="24"/>
          <w:szCs w:val="24"/>
          <w:rtl/>
        </w:rPr>
        <w:t>ב</w:t>
      </w:r>
      <w:r>
        <w:rPr>
          <w:rFonts w:ascii="Calibri" w:eastAsia="Calibri" w:hAnsi="Calibri" w:cs="David" w:hint="cs"/>
          <w:spacing w:val="0"/>
          <w:sz w:val="24"/>
          <w:szCs w:val="24"/>
          <w:rtl/>
        </w:rPr>
        <w:t xml:space="preserve">ידי המדינה היא </w:t>
      </w:r>
      <w:r w:rsidR="00DB61B0">
        <w:rPr>
          <w:rFonts w:ascii="Calibri" w:eastAsia="Calibri" w:hAnsi="Calibri" w:cs="David" w:hint="cs"/>
          <w:spacing w:val="0"/>
          <w:sz w:val="24"/>
          <w:szCs w:val="24"/>
          <w:rtl/>
        </w:rPr>
        <w:t xml:space="preserve">שבהתאם לסעיף </w:t>
      </w:r>
      <w:r>
        <w:rPr>
          <w:rFonts w:ascii="Calibri" w:eastAsia="Calibri" w:hAnsi="Calibri" w:cs="David" w:hint="cs"/>
          <w:spacing w:val="0"/>
          <w:sz w:val="24"/>
          <w:szCs w:val="24"/>
          <w:rtl/>
        </w:rPr>
        <w:t>זה</w:t>
      </w:r>
      <w:r w:rsidR="00DB61B0">
        <w:rPr>
          <w:rFonts w:ascii="Calibri" w:eastAsia="Calibri" w:hAnsi="Calibri" w:cs="David" w:hint="cs"/>
          <w:spacing w:val="0"/>
          <w:sz w:val="24"/>
          <w:szCs w:val="24"/>
          <w:rtl/>
        </w:rPr>
        <w:t xml:space="preserve">, רק </w:t>
      </w:r>
      <w:r>
        <w:rPr>
          <w:rFonts w:ascii="Calibri" w:eastAsia="Calibri" w:hAnsi="Calibri" w:cs="David" w:hint="cs"/>
          <w:spacing w:val="0"/>
          <w:sz w:val="24"/>
          <w:szCs w:val="24"/>
          <w:rtl/>
        </w:rPr>
        <w:t>זוגות הטרוסקסואליים</w:t>
      </w:r>
      <w:r w:rsidR="00DB61B0">
        <w:rPr>
          <w:rFonts w:ascii="Calibri" w:eastAsia="Calibri" w:hAnsi="Calibri" w:cs="David" w:hint="cs"/>
          <w:spacing w:val="0"/>
          <w:sz w:val="24"/>
          <w:szCs w:val="24"/>
          <w:rtl/>
        </w:rPr>
        <w:t xml:space="preserve"> כשירים לאמץ ואילו</w:t>
      </w:r>
      <w:r w:rsidR="000840E5">
        <w:rPr>
          <w:rFonts w:ascii="Calibri" w:eastAsia="Calibri" w:hAnsi="Calibri" w:cs="David" w:hint="cs"/>
          <w:spacing w:val="0"/>
          <w:sz w:val="24"/>
          <w:szCs w:val="24"/>
          <w:rtl/>
        </w:rPr>
        <w:t xml:space="preserve"> אימוץ בידי זוגות</w:t>
      </w:r>
      <w:r w:rsidR="00DB61B0">
        <w:rPr>
          <w:rFonts w:ascii="Calibri" w:eastAsia="Calibri" w:hAnsi="Calibri" w:cs="David" w:hint="cs"/>
          <w:spacing w:val="0"/>
          <w:sz w:val="24"/>
          <w:szCs w:val="24"/>
          <w:rtl/>
        </w:rPr>
        <w:t xml:space="preserve"> </w:t>
      </w:r>
      <w:r w:rsidR="002E424C">
        <w:rPr>
          <w:rFonts w:ascii="Calibri" w:eastAsia="Calibri" w:hAnsi="Calibri" w:cs="David" w:hint="cs"/>
          <w:spacing w:val="0"/>
          <w:sz w:val="24"/>
          <w:szCs w:val="24"/>
          <w:rtl/>
        </w:rPr>
        <w:t>מ</w:t>
      </w:r>
      <w:r w:rsidR="000840E5">
        <w:rPr>
          <w:rFonts w:ascii="Calibri" w:eastAsia="Calibri" w:hAnsi="Calibri" w:cs="David" w:hint="cs"/>
          <w:spacing w:val="0"/>
          <w:sz w:val="24"/>
          <w:szCs w:val="24"/>
          <w:rtl/>
        </w:rPr>
        <w:t>אותו המין אפשרי רק כחריג לכלל ובהתאם לסעיפים אחרים בחוק האימוץ. בהמשך לכך,</w:t>
      </w:r>
      <w:r>
        <w:rPr>
          <w:rFonts w:ascii="Calibri" w:eastAsia="Calibri" w:hAnsi="Calibri" w:cs="David" w:hint="cs"/>
          <w:spacing w:val="0"/>
          <w:sz w:val="24"/>
          <w:szCs w:val="24"/>
          <w:rtl/>
        </w:rPr>
        <w:t xml:space="preserve"> בקשתם לאימוץ של זוגות מאותו המין </w:t>
      </w:r>
      <w:r w:rsidRPr="00094D8B">
        <w:rPr>
          <w:rFonts w:ascii="Calibri" w:eastAsia="Calibri" w:hAnsi="Calibri" w:cs="David"/>
          <w:spacing w:val="0"/>
          <w:sz w:val="24"/>
          <w:szCs w:val="24"/>
          <w:rtl/>
        </w:rPr>
        <w:t>נבחנ</w:t>
      </w:r>
      <w:r w:rsidR="00DB61B0">
        <w:rPr>
          <w:rFonts w:ascii="Calibri" w:eastAsia="Calibri" w:hAnsi="Calibri" w:cs="David" w:hint="cs"/>
          <w:spacing w:val="0"/>
          <w:sz w:val="24"/>
          <w:szCs w:val="24"/>
          <w:rtl/>
        </w:rPr>
        <w:t>ה</w:t>
      </w:r>
      <w:r w:rsidRPr="00094D8B">
        <w:rPr>
          <w:rFonts w:ascii="Calibri" w:eastAsia="Calibri" w:hAnsi="Calibri" w:cs="David"/>
          <w:spacing w:val="0"/>
          <w:sz w:val="24"/>
          <w:szCs w:val="24"/>
          <w:rtl/>
        </w:rPr>
        <w:t xml:space="preserve"> רק מקום שבו לא ניתן למסור את הילד לאימוץ </w:t>
      </w:r>
      <w:r w:rsidR="00DB61B0">
        <w:rPr>
          <w:rFonts w:ascii="Calibri" w:eastAsia="Calibri" w:hAnsi="Calibri" w:cs="David" w:hint="cs"/>
          <w:spacing w:val="0"/>
          <w:sz w:val="24"/>
          <w:szCs w:val="24"/>
          <w:rtl/>
        </w:rPr>
        <w:t xml:space="preserve">לבני זוג </w:t>
      </w:r>
      <w:r w:rsidRPr="00094D8B">
        <w:rPr>
          <w:rFonts w:ascii="Calibri" w:eastAsia="Calibri" w:hAnsi="Calibri" w:cs="David"/>
          <w:spacing w:val="0"/>
          <w:sz w:val="24"/>
          <w:szCs w:val="24"/>
          <w:rtl/>
        </w:rPr>
        <w:t>הטרוסקסואלים</w:t>
      </w:r>
      <w:r>
        <w:rPr>
          <w:rFonts w:ascii="Calibri" w:eastAsia="Calibri" w:hAnsi="Calibri" w:cs="David" w:hint="cs"/>
          <w:spacing w:val="0"/>
          <w:sz w:val="24"/>
          <w:szCs w:val="24"/>
          <w:rtl/>
        </w:rPr>
        <w:t xml:space="preserve">. </w:t>
      </w:r>
      <w:r w:rsidR="00110C14">
        <w:rPr>
          <w:rFonts w:ascii="Calibri" w:eastAsia="Calibri" w:hAnsi="Calibri" w:cs="David" w:hint="cs"/>
          <w:spacing w:val="0"/>
          <w:sz w:val="24"/>
          <w:szCs w:val="24"/>
          <w:rtl/>
        </w:rPr>
        <w:t>העותרים טענו</w:t>
      </w:r>
      <w:r w:rsidR="00DB61B0">
        <w:rPr>
          <w:rFonts w:ascii="Calibri" w:eastAsia="Calibri" w:hAnsi="Calibri" w:cs="David" w:hint="cs"/>
          <w:spacing w:val="0"/>
          <w:sz w:val="24"/>
          <w:szCs w:val="24"/>
          <w:rtl/>
        </w:rPr>
        <w:t xml:space="preserve"> כי יש לפרש את </w:t>
      </w:r>
      <w:r w:rsidR="002B4BF4">
        <w:rPr>
          <w:rFonts w:ascii="Calibri" w:eastAsia="Calibri" w:hAnsi="Calibri" w:cs="David" w:hint="cs"/>
          <w:spacing w:val="0"/>
          <w:sz w:val="24"/>
          <w:szCs w:val="24"/>
          <w:rtl/>
        </w:rPr>
        <w:t>חוק האימוץ</w:t>
      </w:r>
      <w:r w:rsidR="00DB61B0">
        <w:rPr>
          <w:rFonts w:ascii="Calibri" w:eastAsia="Calibri" w:hAnsi="Calibri" w:cs="David" w:hint="cs"/>
          <w:spacing w:val="0"/>
          <w:sz w:val="24"/>
          <w:szCs w:val="24"/>
          <w:rtl/>
        </w:rPr>
        <w:t xml:space="preserve"> כך שגם בני זוג מאותו המין</w:t>
      </w:r>
      <w:r w:rsidR="005A7D53">
        <w:rPr>
          <w:rFonts w:ascii="Calibri" w:eastAsia="Calibri" w:hAnsi="Calibri" w:cs="David" w:hint="cs"/>
          <w:spacing w:val="0"/>
          <w:sz w:val="24"/>
          <w:szCs w:val="24"/>
          <w:rtl/>
        </w:rPr>
        <w:t xml:space="preserve"> יהיו</w:t>
      </w:r>
      <w:r w:rsidR="00DB61B0">
        <w:rPr>
          <w:rFonts w:ascii="Calibri" w:eastAsia="Calibri" w:hAnsi="Calibri" w:cs="David" w:hint="cs"/>
          <w:spacing w:val="0"/>
          <w:sz w:val="24"/>
          <w:szCs w:val="24"/>
          <w:rtl/>
        </w:rPr>
        <w:t xml:space="preserve"> כשירים לאמץ בגדר</w:t>
      </w:r>
      <w:r w:rsidR="005A7D53">
        <w:rPr>
          <w:rFonts w:ascii="Calibri" w:eastAsia="Calibri" w:hAnsi="Calibri" w:cs="David" w:hint="cs"/>
          <w:spacing w:val="0"/>
          <w:sz w:val="24"/>
          <w:szCs w:val="24"/>
          <w:rtl/>
        </w:rPr>
        <w:t xml:space="preserve"> ההסדר הקיים.</w:t>
      </w:r>
      <w:r w:rsidR="00DB61B0">
        <w:rPr>
          <w:rFonts w:ascii="Calibri" w:eastAsia="Calibri" w:hAnsi="Calibri" w:cs="David" w:hint="cs"/>
          <w:spacing w:val="0"/>
          <w:sz w:val="24"/>
          <w:szCs w:val="24"/>
          <w:rtl/>
        </w:rPr>
        <w:t xml:space="preserve"> </w:t>
      </w:r>
    </w:p>
    <w:p w:rsidR="003F0980" w:rsidRDefault="003F0980" w:rsidP="001D026E">
      <w:pPr>
        <w:pStyle w:val="Ruller41"/>
        <w:rPr>
          <w:rFonts w:ascii="Calibri" w:eastAsia="Calibri" w:hAnsi="Calibri" w:cs="David"/>
          <w:spacing w:val="0"/>
          <w:sz w:val="24"/>
          <w:szCs w:val="24"/>
          <w:rtl/>
        </w:rPr>
      </w:pPr>
    </w:p>
    <w:p w:rsidR="00094D8B" w:rsidRDefault="00B41EB7" w:rsidP="007F4CEA">
      <w:pPr>
        <w:pStyle w:val="Ruller41"/>
        <w:rPr>
          <w:rFonts w:ascii="Calibri" w:eastAsia="Calibri" w:hAnsi="Calibri" w:cs="David"/>
          <w:spacing w:val="0"/>
          <w:sz w:val="24"/>
          <w:szCs w:val="24"/>
          <w:rtl/>
        </w:rPr>
      </w:pPr>
      <w:r>
        <w:rPr>
          <w:rFonts w:ascii="Calibri" w:eastAsia="Calibri" w:hAnsi="Calibri" w:cs="David" w:hint="cs"/>
          <w:spacing w:val="0"/>
          <w:sz w:val="24"/>
          <w:szCs w:val="24"/>
          <w:rtl/>
        </w:rPr>
        <w:t xml:space="preserve">יצוין כי </w:t>
      </w:r>
      <w:r w:rsidR="001D026E">
        <w:rPr>
          <w:rFonts w:ascii="Calibri" w:eastAsia="Calibri" w:hAnsi="Calibri" w:cs="David" w:hint="cs"/>
          <w:spacing w:val="0"/>
          <w:sz w:val="24"/>
          <w:szCs w:val="24"/>
          <w:rtl/>
        </w:rPr>
        <w:t>עתירה קודמת באותו עניין נמחקה בשנת 2017</w:t>
      </w:r>
      <w:r>
        <w:rPr>
          <w:rFonts w:ascii="Calibri" w:eastAsia="Calibri" w:hAnsi="Calibri" w:cs="David" w:hint="cs"/>
          <w:spacing w:val="0"/>
          <w:sz w:val="24"/>
          <w:szCs w:val="24"/>
          <w:rtl/>
        </w:rPr>
        <w:t xml:space="preserve">, וזאת </w:t>
      </w:r>
      <w:r w:rsidR="001D026E">
        <w:rPr>
          <w:rFonts w:ascii="Calibri" w:eastAsia="Calibri" w:hAnsi="Calibri" w:cs="David" w:hint="cs"/>
          <w:spacing w:val="0"/>
          <w:sz w:val="24"/>
          <w:szCs w:val="24"/>
          <w:rtl/>
        </w:rPr>
        <w:t>ל</w:t>
      </w:r>
      <w:r>
        <w:rPr>
          <w:rFonts w:ascii="Calibri" w:eastAsia="Calibri" w:hAnsi="Calibri" w:cs="David" w:hint="cs"/>
          <w:spacing w:val="0"/>
          <w:sz w:val="24"/>
          <w:szCs w:val="24"/>
          <w:rtl/>
        </w:rPr>
        <w:t xml:space="preserve">אור </w:t>
      </w:r>
      <w:r w:rsidR="001D026E">
        <w:rPr>
          <w:rFonts w:ascii="Calibri" w:eastAsia="Calibri" w:hAnsi="Calibri" w:cs="David" w:hint="cs"/>
          <w:spacing w:val="0"/>
          <w:sz w:val="24"/>
          <w:szCs w:val="24"/>
          <w:rtl/>
        </w:rPr>
        <w:t>התחייבותה של המדינה לפעול ל</w:t>
      </w:r>
      <w:r w:rsidR="001D026E" w:rsidRPr="001D026E">
        <w:rPr>
          <w:rFonts w:ascii="Calibri" w:eastAsia="Calibri" w:hAnsi="Calibri" w:cs="David"/>
          <w:spacing w:val="0"/>
          <w:sz w:val="24"/>
          <w:szCs w:val="24"/>
          <w:rtl/>
        </w:rPr>
        <w:t>ת</w:t>
      </w:r>
      <w:r>
        <w:rPr>
          <w:rFonts w:ascii="Calibri" w:eastAsia="Calibri" w:hAnsi="Calibri" w:cs="David" w:hint="cs"/>
          <w:spacing w:val="0"/>
          <w:sz w:val="24"/>
          <w:szCs w:val="24"/>
          <w:rtl/>
        </w:rPr>
        <w:t>י</w:t>
      </w:r>
      <w:r w:rsidR="001D026E" w:rsidRPr="001D026E">
        <w:rPr>
          <w:rFonts w:ascii="Calibri" w:eastAsia="Calibri" w:hAnsi="Calibri" w:cs="David"/>
          <w:spacing w:val="0"/>
          <w:sz w:val="24"/>
          <w:szCs w:val="24"/>
          <w:rtl/>
        </w:rPr>
        <w:t>ק</w:t>
      </w:r>
      <w:r>
        <w:rPr>
          <w:rFonts w:ascii="Calibri" w:eastAsia="Calibri" w:hAnsi="Calibri" w:cs="David" w:hint="cs"/>
          <w:spacing w:val="0"/>
          <w:sz w:val="24"/>
          <w:szCs w:val="24"/>
          <w:rtl/>
        </w:rPr>
        <w:t>ו</w:t>
      </w:r>
      <w:r w:rsidR="001D026E" w:rsidRPr="001D026E">
        <w:rPr>
          <w:rFonts w:ascii="Calibri" w:eastAsia="Calibri" w:hAnsi="Calibri" w:cs="David"/>
          <w:spacing w:val="0"/>
          <w:sz w:val="24"/>
          <w:szCs w:val="24"/>
          <w:rtl/>
        </w:rPr>
        <w:t>ן</w:t>
      </w:r>
      <w:r>
        <w:rPr>
          <w:rFonts w:ascii="Calibri" w:eastAsia="Calibri" w:hAnsi="Calibri" w:cs="David" w:hint="cs"/>
          <w:spacing w:val="0"/>
          <w:sz w:val="24"/>
          <w:szCs w:val="24"/>
          <w:rtl/>
        </w:rPr>
        <w:t xml:space="preserve"> </w:t>
      </w:r>
      <w:r w:rsidR="001D026E" w:rsidRPr="001D026E">
        <w:rPr>
          <w:rFonts w:ascii="Calibri" w:eastAsia="Calibri" w:hAnsi="Calibri" w:cs="David"/>
          <w:spacing w:val="0"/>
          <w:sz w:val="24"/>
          <w:szCs w:val="24"/>
          <w:rtl/>
        </w:rPr>
        <w:t>חוק האימוץ כך שתבוטל העדיפות המוקנית לזוגות הטרוסקסואליים על פני זוגות מאותו המין.</w:t>
      </w:r>
      <w:r w:rsidR="001D026E" w:rsidRPr="001D026E">
        <w:rPr>
          <w:rtl/>
        </w:rPr>
        <w:t xml:space="preserve"> </w:t>
      </w:r>
      <w:r w:rsidR="001D026E" w:rsidRPr="001D026E">
        <w:rPr>
          <w:rFonts w:ascii="Calibri" w:eastAsia="Calibri" w:hAnsi="Calibri" w:cs="David"/>
          <w:spacing w:val="0"/>
          <w:sz w:val="24"/>
          <w:szCs w:val="24"/>
          <w:rtl/>
        </w:rPr>
        <w:t>ואולם, אף בחלוף שנים ארוכות, הליך חקיקה כאמור לא הושלם</w:t>
      </w:r>
      <w:r>
        <w:rPr>
          <w:rFonts w:ascii="Calibri" w:eastAsia="Calibri" w:hAnsi="Calibri" w:cs="David" w:hint="cs"/>
          <w:spacing w:val="0"/>
          <w:sz w:val="24"/>
          <w:szCs w:val="24"/>
          <w:rtl/>
        </w:rPr>
        <w:t xml:space="preserve"> והמדינה הצהירה כי</w:t>
      </w:r>
      <w:r w:rsidR="003F0980">
        <w:rPr>
          <w:rFonts w:ascii="Calibri" w:eastAsia="Calibri" w:hAnsi="Calibri" w:cs="David" w:hint="cs"/>
          <w:spacing w:val="0"/>
          <w:sz w:val="24"/>
          <w:szCs w:val="24"/>
          <w:rtl/>
        </w:rPr>
        <w:t xml:space="preserve"> בעת הזו אין</w:t>
      </w:r>
      <w:r w:rsidR="001D026E" w:rsidRPr="001D026E">
        <w:rPr>
          <w:rFonts w:ascii="Calibri" w:eastAsia="Calibri" w:hAnsi="Calibri" w:cs="David"/>
          <w:spacing w:val="0"/>
          <w:sz w:val="24"/>
          <w:szCs w:val="24"/>
          <w:rtl/>
        </w:rPr>
        <w:t xml:space="preserve"> אופק חקיקתי להסדרת הסוגיה</w:t>
      </w:r>
      <w:r>
        <w:rPr>
          <w:rFonts w:ascii="Calibri" w:eastAsia="Calibri" w:hAnsi="Calibri" w:cs="David" w:hint="cs"/>
          <w:spacing w:val="0"/>
          <w:sz w:val="24"/>
          <w:szCs w:val="24"/>
          <w:rtl/>
        </w:rPr>
        <w:t xml:space="preserve">. בנסיבות אלה מצא בית המשפט </w:t>
      </w:r>
      <w:r w:rsidR="001D026E">
        <w:rPr>
          <w:rFonts w:ascii="Calibri" w:eastAsia="Calibri" w:hAnsi="Calibri" w:cs="David" w:hint="cs"/>
          <w:spacing w:val="0"/>
          <w:sz w:val="24"/>
          <w:szCs w:val="24"/>
          <w:rtl/>
        </w:rPr>
        <w:t xml:space="preserve">כי </w:t>
      </w:r>
      <w:r>
        <w:rPr>
          <w:rFonts w:ascii="Calibri" w:eastAsia="Calibri" w:hAnsi="Calibri" w:cs="David" w:hint="cs"/>
          <w:spacing w:val="0"/>
          <w:sz w:val="24"/>
          <w:szCs w:val="24"/>
          <w:rtl/>
        </w:rPr>
        <w:t>בשלה</w:t>
      </w:r>
      <w:r w:rsidR="001D026E">
        <w:rPr>
          <w:rFonts w:ascii="Calibri" w:eastAsia="Calibri" w:hAnsi="Calibri" w:cs="David" w:hint="cs"/>
          <w:spacing w:val="0"/>
          <w:sz w:val="24"/>
          <w:szCs w:val="24"/>
          <w:rtl/>
        </w:rPr>
        <w:t xml:space="preserve"> העת</w:t>
      </w:r>
      <w:r w:rsidR="001D026E" w:rsidRPr="001D026E">
        <w:rPr>
          <w:rFonts w:ascii="Calibri" w:eastAsia="Calibri" w:hAnsi="Calibri" w:cs="David"/>
          <w:spacing w:val="0"/>
          <w:sz w:val="24"/>
          <w:szCs w:val="24"/>
          <w:rtl/>
        </w:rPr>
        <w:t xml:space="preserve"> </w:t>
      </w:r>
      <w:r w:rsidR="001D026E">
        <w:rPr>
          <w:rFonts w:ascii="Calibri" w:eastAsia="Calibri" w:hAnsi="Calibri" w:cs="David" w:hint="cs"/>
          <w:spacing w:val="0"/>
          <w:sz w:val="24"/>
          <w:szCs w:val="24"/>
          <w:rtl/>
        </w:rPr>
        <w:t xml:space="preserve">להכריע </w:t>
      </w:r>
      <w:r w:rsidR="001D026E" w:rsidRPr="001D026E">
        <w:rPr>
          <w:rFonts w:ascii="Calibri" w:eastAsia="Calibri" w:hAnsi="Calibri" w:cs="David"/>
          <w:spacing w:val="0"/>
          <w:sz w:val="24"/>
          <w:szCs w:val="24"/>
          <w:rtl/>
        </w:rPr>
        <w:t>בשאלה</w:t>
      </w:r>
      <w:r w:rsidR="001D026E">
        <w:rPr>
          <w:rFonts w:ascii="Calibri" w:eastAsia="Calibri" w:hAnsi="Calibri" w:cs="David"/>
          <w:spacing w:val="0"/>
          <w:sz w:val="24"/>
          <w:szCs w:val="24"/>
          <w:rtl/>
        </w:rPr>
        <w:t xml:space="preserve"> </w:t>
      </w:r>
      <w:r w:rsidR="001D026E">
        <w:rPr>
          <w:rFonts w:ascii="Calibri" w:eastAsia="Calibri" w:hAnsi="Calibri" w:cs="David" w:hint="cs"/>
          <w:spacing w:val="0"/>
          <w:sz w:val="24"/>
          <w:szCs w:val="24"/>
          <w:rtl/>
        </w:rPr>
        <w:t xml:space="preserve">הפרשנית שבמוקד ההליך. היועצת המשפטית לממשלה </w:t>
      </w:r>
      <w:r>
        <w:rPr>
          <w:rFonts w:ascii="Calibri" w:eastAsia="Calibri" w:hAnsi="Calibri" w:cs="David" w:hint="cs"/>
          <w:spacing w:val="0"/>
          <w:sz w:val="24"/>
          <w:szCs w:val="24"/>
          <w:rtl/>
        </w:rPr>
        <w:t xml:space="preserve">אף הביעה עמדתה </w:t>
      </w:r>
      <w:r w:rsidR="007F4CEA">
        <w:rPr>
          <w:rFonts w:ascii="Calibri" w:eastAsia="Calibri" w:hAnsi="Calibri" w:cs="David" w:hint="cs"/>
          <w:spacing w:val="0"/>
          <w:sz w:val="24"/>
          <w:szCs w:val="24"/>
          <w:rtl/>
        </w:rPr>
        <w:t xml:space="preserve">כי </w:t>
      </w:r>
      <w:r>
        <w:rPr>
          <w:rFonts w:ascii="Calibri" w:eastAsia="Calibri" w:hAnsi="Calibri" w:cs="David" w:hint="cs"/>
          <w:spacing w:val="0"/>
          <w:sz w:val="24"/>
          <w:szCs w:val="24"/>
          <w:rtl/>
        </w:rPr>
        <w:t>ה</w:t>
      </w:r>
      <w:r w:rsidR="001D026E" w:rsidRPr="001D026E">
        <w:rPr>
          <w:rFonts w:ascii="Calibri" w:eastAsia="Calibri" w:hAnsi="Calibri" w:cs="David"/>
          <w:spacing w:val="0"/>
          <w:sz w:val="24"/>
          <w:szCs w:val="24"/>
          <w:rtl/>
        </w:rPr>
        <w:t xml:space="preserve">פרשנות </w:t>
      </w:r>
      <w:r w:rsidR="003F0980">
        <w:rPr>
          <w:rFonts w:ascii="Calibri" w:eastAsia="Calibri" w:hAnsi="Calibri" w:cs="David" w:hint="cs"/>
          <w:spacing w:val="0"/>
          <w:sz w:val="24"/>
          <w:szCs w:val="24"/>
          <w:rtl/>
        </w:rPr>
        <w:t>שלפיה בני זוג מאותו מין כשירים לאמץ לפי סעיף 3</w:t>
      </w:r>
      <w:r>
        <w:rPr>
          <w:rFonts w:ascii="Calibri" w:eastAsia="Calibri" w:hAnsi="Calibri" w:cs="David" w:hint="cs"/>
          <w:spacing w:val="0"/>
          <w:sz w:val="24"/>
          <w:szCs w:val="24"/>
          <w:rtl/>
        </w:rPr>
        <w:t xml:space="preserve"> הינה פרשנות אפשרית</w:t>
      </w:r>
      <w:r w:rsidR="003F0980">
        <w:rPr>
          <w:rFonts w:ascii="Calibri" w:eastAsia="Calibri" w:hAnsi="Calibri" w:cs="David" w:hint="cs"/>
          <w:spacing w:val="0"/>
          <w:sz w:val="24"/>
          <w:szCs w:val="24"/>
          <w:rtl/>
        </w:rPr>
        <w:t>.</w:t>
      </w:r>
    </w:p>
    <w:p w:rsidR="00094D8B" w:rsidRDefault="00094D8B" w:rsidP="00094D8B">
      <w:pPr>
        <w:pStyle w:val="Ruller41"/>
        <w:rPr>
          <w:rFonts w:ascii="Calibri" w:eastAsia="Calibri" w:hAnsi="Calibri" w:cs="David"/>
          <w:spacing w:val="0"/>
          <w:sz w:val="24"/>
          <w:szCs w:val="24"/>
          <w:rtl/>
        </w:rPr>
      </w:pPr>
    </w:p>
    <w:p w:rsidR="001D026E" w:rsidRPr="00094D8B" w:rsidRDefault="00094D8B" w:rsidP="007F4CEA">
      <w:pPr>
        <w:pStyle w:val="Ruller41"/>
        <w:rPr>
          <w:rFonts w:ascii="Calibri" w:eastAsia="Calibri" w:hAnsi="Calibri" w:cs="David"/>
          <w:spacing w:val="0"/>
          <w:sz w:val="24"/>
          <w:szCs w:val="24"/>
          <w:rtl/>
        </w:rPr>
      </w:pPr>
      <w:r w:rsidRPr="00094D8B">
        <w:rPr>
          <w:rFonts w:ascii="Calibri" w:eastAsia="Calibri" w:hAnsi="Calibri" w:cs="David" w:hint="cs"/>
          <w:spacing w:val="0"/>
          <w:sz w:val="24"/>
          <w:szCs w:val="24"/>
          <w:rtl/>
        </w:rPr>
        <w:t>ממלא מקום הנשיא ע' פוגלמן</w:t>
      </w:r>
      <w:r>
        <w:rPr>
          <w:rFonts w:ascii="Calibri" w:eastAsia="Calibri" w:hAnsi="Calibri" w:cs="David" w:hint="cs"/>
          <w:spacing w:val="0"/>
          <w:sz w:val="24"/>
          <w:szCs w:val="24"/>
          <w:rtl/>
        </w:rPr>
        <w:t xml:space="preserve"> קבע </w:t>
      </w:r>
      <w:r w:rsidRPr="00094D8B">
        <w:rPr>
          <w:rFonts w:ascii="Calibri" w:eastAsia="Calibri" w:hAnsi="Calibri" w:cs="David" w:hint="cs"/>
          <w:spacing w:val="0"/>
          <w:sz w:val="24"/>
          <w:szCs w:val="24"/>
          <w:rtl/>
        </w:rPr>
        <w:t>ש</w:t>
      </w:r>
      <w:r w:rsidRPr="00094D8B">
        <w:rPr>
          <w:rFonts w:ascii="Calibri" w:eastAsia="Calibri" w:hAnsi="Calibri" w:cs="David" w:hint="eastAsia"/>
          <w:spacing w:val="0"/>
          <w:sz w:val="24"/>
          <w:szCs w:val="24"/>
          <w:rtl/>
        </w:rPr>
        <w:t>יישום</w:t>
      </w:r>
      <w:r w:rsidRPr="00094D8B">
        <w:rPr>
          <w:rFonts w:ascii="Calibri" w:eastAsia="Calibri" w:hAnsi="Calibri" w:cs="David"/>
          <w:spacing w:val="0"/>
          <w:sz w:val="24"/>
          <w:szCs w:val="24"/>
          <w:rtl/>
        </w:rPr>
        <w:t xml:space="preserve"> </w:t>
      </w:r>
      <w:r w:rsidRPr="00094D8B">
        <w:rPr>
          <w:rFonts w:ascii="Calibri" w:eastAsia="Calibri" w:hAnsi="Calibri" w:cs="David" w:hint="eastAsia"/>
          <w:spacing w:val="0"/>
          <w:sz w:val="24"/>
          <w:szCs w:val="24"/>
          <w:rtl/>
        </w:rPr>
        <w:t>עקרונות</w:t>
      </w:r>
      <w:r w:rsidRPr="00094D8B">
        <w:rPr>
          <w:rFonts w:ascii="Calibri" w:eastAsia="Calibri" w:hAnsi="Calibri" w:cs="David"/>
          <w:spacing w:val="0"/>
          <w:sz w:val="24"/>
          <w:szCs w:val="24"/>
          <w:rtl/>
        </w:rPr>
        <w:t xml:space="preserve"> </w:t>
      </w:r>
      <w:r w:rsidRPr="00094D8B">
        <w:rPr>
          <w:rFonts w:ascii="Calibri" w:eastAsia="Calibri" w:hAnsi="Calibri" w:cs="David" w:hint="eastAsia"/>
          <w:spacing w:val="0"/>
          <w:sz w:val="24"/>
          <w:szCs w:val="24"/>
          <w:rtl/>
        </w:rPr>
        <w:t>תורת</w:t>
      </w:r>
      <w:r w:rsidRPr="00094D8B">
        <w:rPr>
          <w:rFonts w:ascii="Calibri" w:eastAsia="Calibri" w:hAnsi="Calibri" w:cs="David"/>
          <w:spacing w:val="0"/>
          <w:sz w:val="24"/>
          <w:szCs w:val="24"/>
          <w:rtl/>
        </w:rPr>
        <w:t xml:space="preserve"> </w:t>
      </w:r>
      <w:r w:rsidRPr="00094D8B">
        <w:rPr>
          <w:rFonts w:ascii="Calibri" w:eastAsia="Calibri" w:hAnsi="Calibri" w:cs="David" w:hint="eastAsia"/>
          <w:spacing w:val="0"/>
          <w:sz w:val="24"/>
          <w:szCs w:val="24"/>
          <w:rtl/>
        </w:rPr>
        <w:t>הפרשנות</w:t>
      </w:r>
      <w:r w:rsidRPr="00094D8B">
        <w:rPr>
          <w:rFonts w:ascii="Calibri" w:eastAsia="Calibri" w:hAnsi="Calibri" w:cs="David"/>
          <w:spacing w:val="0"/>
          <w:sz w:val="24"/>
          <w:szCs w:val="24"/>
          <w:rtl/>
        </w:rPr>
        <w:t xml:space="preserve"> </w:t>
      </w:r>
      <w:r>
        <w:rPr>
          <w:rFonts w:ascii="Calibri" w:eastAsia="Calibri" w:hAnsi="Calibri" w:cs="David" w:hint="cs"/>
          <w:spacing w:val="0"/>
          <w:sz w:val="24"/>
          <w:szCs w:val="24"/>
          <w:rtl/>
        </w:rPr>
        <w:t xml:space="preserve">המקובלים </w:t>
      </w:r>
      <w:r w:rsidR="00110C14">
        <w:rPr>
          <w:rFonts w:ascii="Calibri" w:eastAsia="Calibri" w:hAnsi="Calibri" w:cs="David" w:hint="cs"/>
          <w:spacing w:val="0"/>
          <w:sz w:val="24"/>
          <w:szCs w:val="24"/>
          <w:rtl/>
        </w:rPr>
        <w:t xml:space="preserve">בשיטתנו </w:t>
      </w:r>
      <w:r w:rsidRPr="00094D8B">
        <w:rPr>
          <w:rFonts w:ascii="Calibri" w:eastAsia="Calibri" w:hAnsi="Calibri" w:cs="David" w:hint="cs"/>
          <w:spacing w:val="0"/>
          <w:sz w:val="24"/>
          <w:szCs w:val="24"/>
          <w:rtl/>
        </w:rPr>
        <w:t>מעלה כי יש לבכר את הפרשנות שכוללת זוגות מאותו המין בגדרי הסעיף.</w:t>
      </w:r>
      <w:r>
        <w:rPr>
          <w:rFonts w:ascii="Calibri" w:eastAsia="Calibri" w:hAnsi="Calibri" w:cs="David" w:hint="cs"/>
          <w:spacing w:val="0"/>
          <w:sz w:val="24"/>
          <w:szCs w:val="24"/>
          <w:rtl/>
        </w:rPr>
        <w:t xml:space="preserve"> </w:t>
      </w:r>
      <w:r w:rsidR="00E10B83">
        <w:rPr>
          <w:rFonts w:ascii="Calibri" w:eastAsia="Calibri" w:hAnsi="Calibri" w:cs="David" w:hint="cs"/>
          <w:spacing w:val="0"/>
          <w:sz w:val="24"/>
          <w:szCs w:val="24"/>
          <w:rtl/>
        </w:rPr>
        <w:t xml:space="preserve">נמצא </w:t>
      </w:r>
      <w:r w:rsidR="00814438">
        <w:rPr>
          <w:rFonts w:ascii="Calibri" w:eastAsia="Calibri" w:hAnsi="Calibri" w:cs="David" w:hint="cs"/>
          <w:spacing w:val="0"/>
          <w:sz w:val="24"/>
          <w:szCs w:val="24"/>
          <w:rtl/>
        </w:rPr>
        <w:t xml:space="preserve">כי </w:t>
      </w:r>
      <w:r w:rsidR="00E10B83" w:rsidRPr="00094D8B">
        <w:rPr>
          <w:rFonts w:ascii="Calibri" w:eastAsia="Calibri" w:hAnsi="Calibri" w:cs="David"/>
          <w:spacing w:val="0"/>
          <w:sz w:val="24"/>
          <w:szCs w:val="24"/>
          <w:rtl/>
        </w:rPr>
        <w:t xml:space="preserve">אף שלשונו של סעיף 3 מתיישבת יותר, על פני הדברים, עם הפרשנות שלפיה </w:t>
      </w:r>
      <w:r w:rsidR="00814438">
        <w:rPr>
          <w:rFonts w:ascii="Calibri" w:eastAsia="Calibri" w:hAnsi="Calibri" w:cs="David" w:hint="cs"/>
          <w:spacing w:val="0"/>
          <w:sz w:val="24"/>
          <w:szCs w:val="24"/>
          <w:rtl/>
        </w:rPr>
        <w:t>ה</w:t>
      </w:r>
      <w:r w:rsidR="00E10B83" w:rsidRPr="00094D8B">
        <w:rPr>
          <w:rFonts w:ascii="Calibri" w:eastAsia="Calibri" w:hAnsi="Calibri" w:cs="David"/>
          <w:spacing w:val="0"/>
          <w:sz w:val="24"/>
          <w:szCs w:val="24"/>
          <w:rtl/>
        </w:rPr>
        <w:t xml:space="preserve">תיבה </w:t>
      </w:r>
      <w:r w:rsidR="00814438">
        <w:rPr>
          <w:rFonts w:ascii="Calibri" w:eastAsia="Calibri" w:hAnsi="Calibri" w:cs="David" w:hint="cs"/>
          <w:spacing w:val="0"/>
          <w:sz w:val="24"/>
          <w:szCs w:val="24"/>
          <w:rtl/>
        </w:rPr>
        <w:t xml:space="preserve">"איש ואשתו יחד" </w:t>
      </w:r>
      <w:r w:rsidR="00E10B83" w:rsidRPr="00094D8B">
        <w:rPr>
          <w:rFonts w:ascii="Calibri" w:eastAsia="Calibri" w:hAnsi="Calibri" w:cs="David"/>
          <w:spacing w:val="0"/>
          <w:sz w:val="24"/>
          <w:szCs w:val="24"/>
          <w:rtl/>
        </w:rPr>
        <w:t>מתייחסת לבני זוג הטרוסקסואליים, הפרשנות שלפיה סעיף זה כולל גם בני זוג מאותו המין אינה חורגת ממתחם הפרשנויות הלשוניות האפשריות.</w:t>
      </w:r>
      <w:r w:rsidR="00E10B83">
        <w:rPr>
          <w:rFonts w:ascii="Calibri" w:eastAsia="Calibri" w:hAnsi="Calibri" w:cs="David" w:hint="cs"/>
          <w:spacing w:val="0"/>
          <w:sz w:val="24"/>
          <w:szCs w:val="24"/>
          <w:rtl/>
        </w:rPr>
        <w:t xml:space="preserve"> זאת, מאחר שבחינת הביטוי</w:t>
      </w:r>
      <w:r>
        <w:rPr>
          <w:rFonts w:ascii="Calibri" w:eastAsia="Calibri" w:hAnsi="Calibri" w:cs="David" w:hint="cs"/>
          <w:spacing w:val="0"/>
          <w:sz w:val="24"/>
          <w:szCs w:val="24"/>
          <w:rtl/>
        </w:rPr>
        <w:t xml:space="preserve"> בהקשרו הלשוני המלא </w:t>
      </w:r>
      <w:r w:rsidRPr="00094D8B">
        <w:rPr>
          <w:rFonts w:ascii="Calibri" w:eastAsia="Calibri" w:hAnsi="Calibri" w:cs="David"/>
          <w:spacing w:val="0"/>
          <w:sz w:val="24"/>
          <w:szCs w:val="24"/>
          <w:rtl/>
        </w:rPr>
        <w:t>מלמדת כי</w:t>
      </w:r>
      <w:r>
        <w:rPr>
          <w:rFonts w:ascii="Calibri" w:eastAsia="Calibri" w:hAnsi="Calibri" w:cs="David" w:hint="cs"/>
          <w:spacing w:val="0"/>
          <w:sz w:val="24"/>
          <w:szCs w:val="24"/>
          <w:rtl/>
        </w:rPr>
        <w:t xml:space="preserve"> </w:t>
      </w:r>
      <w:r w:rsidRPr="00094D8B">
        <w:rPr>
          <w:rFonts w:ascii="Calibri" w:eastAsia="Calibri" w:hAnsi="Calibri" w:cs="David"/>
          <w:spacing w:val="0"/>
          <w:sz w:val="24"/>
          <w:szCs w:val="24"/>
          <w:rtl/>
        </w:rPr>
        <w:t>לשון הסעיף יוצרת הבחנה בין שתי קטגוריות כלליות: מי שמשתייך למסגרת משפחתית שכוללת זוג הורים, לעומת מי שמבקש לאמץ לתוך מסגרת משפחתית חד</w:t>
      </w:r>
      <w:r w:rsidR="00673DEE">
        <w:rPr>
          <w:rFonts w:ascii="Calibri" w:eastAsia="Calibri" w:hAnsi="Calibri" w:cs="David" w:hint="cs"/>
          <w:spacing w:val="0"/>
          <w:sz w:val="24"/>
          <w:szCs w:val="24"/>
          <w:rtl/>
        </w:rPr>
        <w:t xml:space="preserve"> </w:t>
      </w:r>
      <w:r w:rsidRPr="00094D8B">
        <w:rPr>
          <w:rFonts w:ascii="Calibri" w:eastAsia="Calibri" w:hAnsi="Calibri" w:cs="David"/>
          <w:spacing w:val="0"/>
          <w:sz w:val="24"/>
          <w:szCs w:val="24"/>
          <w:rtl/>
        </w:rPr>
        <w:t>הורית</w:t>
      </w:r>
      <w:r>
        <w:rPr>
          <w:rFonts w:ascii="Calibri" w:eastAsia="Calibri" w:hAnsi="Calibri" w:cs="David" w:hint="cs"/>
          <w:spacing w:val="0"/>
          <w:sz w:val="24"/>
          <w:szCs w:val="24"/>
          <w:rtl/>
        </w:rPr>
        <w:t>. קרי,</w:t>
      </w:r>
      <w:r w:rsidRPr="00094D8B">
        <w:rPr>
          <w:rFonts w:ascii="Calibri" w:eastAsia="Calibri" w:hAnsi="Calibri" w:cs="David"/>
          <w:spacing w:val="0"/>
          <w:sz w:val="24"/>
          <w:szCs w:val="24"/>
          <w:rtl/>
        </w:rPr>
        <w:t xml:space="preserve"> מרכז הכובד </w:t>
      </w:r>
      <w:r w:rsidR="00E51F1B">
        <w:rPr>
          <w:rFonts w:ascii="Calibri" w:eastAsia="Calibri" w:hAnsi="Calibri" w:cs="David" w:hint="cs"/>
          <w:spacing w:val="0"/>
          <w:sz w:val="24"/>
          <w:szCs w:val="24"/>
          <w:rtl/>
        </w:rPr>
        <w:t xml:space="preserve">של הסעיף </w:t>
      </w:r>
      <w:r w:rsidRPr="00094D8B">
        <w:rPr>
          <w:rFonts w:ascii="Calibri" w:eastAsia="Calibri" w:hAnsi="Calibri" w:cs="David"/>
          <w:spacing w:val="0"/>
          <w:sz w:val="24"/>
          <w:szCs w:val="24"/>
          <w:rtl/>
        </w:rPr>
        <w:t>הוא שמדובר</w:t>
      </w:r>
      <w:r>
        <w:rPr>
          <w:rFonts w:ascii="Calibri" w:eastAsia="Calibri" w:hAnsi="Calibri" w:cs="David"/>
          <w:spacing w:val="0"/>
          <w:sz w:val="24"/>
          <w:szCs w:val="24"/>
          <w:rtl/>
        </w:rPr>
        <w:t xml:space="preserve"> באימוץ</w:t>
      </w:r>
      <w:r w:rsidR="001006FC">
        <w:rPr>
          <w:rFonts w:ascii="Calibri" w:eastAsia="Calibri" w:hAnsi="Calibri" w:cs="David" w:hint="cs"/>
          <w:spacing w:val="0"/>
          <w:sz w:val="24"/>
          <w:szCs w:val="24"/>
          <w:rtl/>
        </w:rPr>
        <w:t xml:space="preserve"> על ידי מערכת זוגית יציבה שאליה יימסר הילד, בשונה מיחיד.</w:t>
      </w:r>
      <w:r w:rsidR="002E424C">
        <w:rPr>
          <w:rFonts w:ascii="Calibri" w:eastAsia="Calibri" w:hAnsi="Calibri" w:cs="David" w:hint="cs"/>
          <w:spacing w:val="0"/>
          <w:sz w:val="24"/>
          <w:szCs w:val="24"/>
          <w:rtl/>
        </w:rPr>
        <w:t xml:space="preserve"> </w:t>
      </w:r>
      <w:r w:rsidR="00B41EB7">
        <w:rPr>
          <w:rFonts w:ascii="Calibri" w:eastAsia="Calibri" w:hAnsi="Calibri" w:cs="David" w:hint="cs"/>
          <w:spacing w:val="0"/>
          <w:sz w:val="24"/>
          <w:szCs w:val="24"/>
          <w:rtl/>
        </w:rPr>
        <w:t>עוד הובהר כי</w:t>
      </w:r>
      <w:r w:rsidR="001D026E">
        <w:rPr>
          <w:rFonts w:ascii="Calibri" w:eastAsia="Calibri" w:hAnsi="Calibri" w:cs="David" w:hint="cs"/>
          <w:spacing w:val="0"/>
          <w:sz w:val="24"/>
          <w:szCs w:val="24"/>
          <w:rtl/>
        </w:rPr>
        <w:t xml:space="preserve"> </w:t>
      </w:r>
      <w:r w:rsidR="001D026E">
        <w:rPr>
          <w:rFonts w:ascii="Calibri" w:eastAsia="Calibri" w:hAnsi="Calibri" w:cs="David"/>
          <w:spacing w:val="0"/>
          <w:sz w:val="24"/>
          <w:szCs w:val="24"/>
          <w:rtl/>
        </w:rPr>
        <w:t>עיון בהיסטוריה החקיקתית</w:t>
      </w:r>
      <w:r w:rsidR="001D026E" w:rsidRPr="002E424C">
        <w:rPr>
          <w:rFonts w:ascii="Calibri" w:eastAsia="Calibri" w:hAnsi="Calibri" w:cs="David"/>
          <w:spacing w:val="0"/>
          <w:sz w:val="24"/>
          <w:szCs w:val="24"/>
          <w:rtl/>
        </w:rPr>
        <w:t xml:space="preserve"> מעלה </w:t>
      </w:r>
      <w:r w:rsidR="00B41EB7">
        <w:rPr>
          <w:rFonts w:ascii="Calibri" w:eastAsia="Calibri" w:hAnsi="Calibri" w:cs="David" w:hint="cs"/>
          <w:spacing w:val="0"/>
          <w:sz w:val="24"/>
          <w:szCs w:val="24"/>
          <w:rtl/>
        </w:rPr>
        <w:t>ש</w:t>
      </w:r>
      <w:r w:rsidR="001D026E">
        <w:rPr>
          <w:rFonts w:ascii="Calibri" w:eastAsia="Calibri" w:hAnsi="Calibri" w:cs="David" w:hint="cs"/>
          <w:spacing w:val="0"/>
          <w:sz w:val="24"/>
          <w:szCs w:val="24"/>
          <w:rtl/>
        </w:rPr>
        <w:t>שאלת</w:t>
      </w:r>
      <w:r w:rsidR="001D026E" w:rsidRPr="002E424C">
        <w:rPr>
          <w:rFonts w:ascii="Calibri" w:eastAsia="Calibri" w:hAnsi="Calibri" w:cs="David"/>
          <w:spacing w:val="0"/>
          <w:sz w:val="24"/>
          <w:szCs w:val="24"/>
          <w:rtl/>
        </w:rPr>
        <w:t xml:space="preserve"> כשירותם של בני זוג מאותו המין לאמץ כלל לא ניצבה לפני המחוקק</w:t>
      </w:r>
      <w:r w:rsidR="001D026E">
        <w:rPr>
          <w:rFonts w:ascii="Calibri" w:eastAsia="Calibri" w:hAnsi="Calibri" w:cs="David" w:hint="cs"/>
          <w:spacing w:val="0"/>
          <w:sz w:val="24"/>
          <w:szCs w:val="24"/>
          <w:rtl/>
        </w:rPr>
        <w:t>. נקבע כי התכלית הסובייקטיבית אותה ראה המחוקק לנגד עיניו הייתה שטובת הילד היא</w:t>
      </w:r>
      <w:r w:rsidR="001D026E" w:rsidRPr="002E424C">
        <w:rPr>
          <w:rFonts w:ascii="Calibri" w:eastAsia="Calibri" w:hAnsi="Calibri" w:cs="David"/>
          <w:spacing w:val="0"/>
          <w:sz w:val="24"/>
          <w:szCs w:val="24"/>
          <w:rtl/>
        </w:rPr>
        <w:t xml:space="preserve"> לגדול בתא משפחתי שכולל זוג הורים. זאת, מתוך תפיסה שהקשר הזוגי </w:t>
      </w:r>
      <w:r w:rsidR="00B41EB7">
        <w:rPr>
          <w:rFonts w:ascii="Calibri" w:eastAsia="Calibri" w:hAnsi="Calibri" w:cs="David" w:hint="cs"/>
          <w:spacing w:val="0"/>
          <w:sz w:val="24"/>
          <w:szCs w:val="24"/>
          <w:rtl/>
        </w:rPr>
        <w:t xml:space="preserve">בין ההורים </w:t>
      </w:r>
      <w:r w:rsidR="001D026E" w:rsidRPr="002E424C">
        <w:rPr>
          <w:rFonts w:ascii="Calibri" w:eastAsia="Calibri" w:hAnsi="Calibri" w:cs="David"/>
          <w:spacing w:val="0"/>
          <w:sz w:val="24"/>
          <w:szCs w:val="24"/>
          <w:rtl/>
        </w:rPr>
        <w:t>מהווה תנאי ליצירת תא משפחתי שיש בו לספק לילד יציבות וביטחון.</w:t>
      </w:r>
    </w:p>
    <w:p w:rsidR="00110C14" w:rsidRPr="00D762AB" w:rsidRDefault="00110C14" w:rsidP="00FD75D2">
      <w:pPr>
        <w:spacing w:line="360" w:lineRule="auto"/>
        <w:jc w:val="both"/>
        <w:rPr>
          <w:rFonts w:cs="David"/>
          <w:b/>
          <w:bCs/>
          <w:sz w:val="24"/>
          <w:szCs w:val="24"/>
          <w:rtl/>
        </w:rPr>
      </w:pPr>
    </w:p>
    <w:p w:rsidR="00772382" w:rsidRDefault="00B41EB7" w:rsidP="007F4CEA">
      <w:pPr>
        <w:spacing w:line="360" w:lineRule="auto"/>
        <w:jc w:val="both"/>
        <w:rPr>
          <w:rFonts w:cs="David"/>
          <w:sz w:val="24"/>
          <w:szCs w:val="24"/>
          <w:rtl/>
        </w:rPr>
      </w:pPr>
      <w:r>
        <w:rPr>
          <w:rFonts w:cs="David" w:hint="cs"/>
          <w:sz w:val="24"/>
          <w:szCs w:val="24"/>
          <w:rtl/>
        </w:rPr>
        <w:lastRenderedPageBreak/>
        <w:t>עוד</w:t>
      </w:r>
      <w:r w:rsidR="001D026E">
        <w:rPr>
          <w:rFonts w:cs="David" w:hint="cs"/>
          <w:sz w:val="24"/>
          <w:szCs w:val="24"/>
          <w:rtl/>
        </w:rPr>
        <w:t xml:space="preserve"> </w:t>
      </w:r>
      <w:r w:rsidR="00110C14">
        <w:rPr>
          <w:rFonts w:cs="David" w:hint="cs"/>
          <w:sz w:val="24"/>
          <w:szCs w:val="24"/>
          <w:rtl/>
        </w:rPr>
        <w:t>נקבע</w:t>
      </w:r>
      <w:r w:rsidR="00E32589" w:rsidRPr="008110BA">
        <w:rPr>
          <w:rFonts w:cs="David" w:hint="cs"/>
          <w:sz w:val="24"/>
          <w:szCs w:val="24"/>
          <w:rtl/>
        </w:rPr>
        <w:t xml:space="preserve"> </w:t>
      </w:r>
      <w:r w:rsidR="00E50C5A" w:rsidRPr="008110BA">
        <w:rPr>
          <w:rFonts w:cs="David" w:hint="cs"/>
          <w:sz w:val="24"/>
          <w:szCs w:val="24"/>
          <w:rtl/>
        </w:rPr>
        <w:t>כי</w:t>
      </w:r>
      <w:r w:rsidR="00094D8B">
        <w:rPr>
          <w:rFonts w:cs="David" w:hint="cs"/>
          <w:sz w:val="24"/>
          <w:szCs w:val="24"/>
          <w:rtl/>
        </w:rPr>
        <w:t xml:space="preserve"> </w:t>
      </w:r>
      <w:r w:rsidR="00094D8B" w:rsidRPr="00094D8B">
        <w:rPr>
          <w:rFonts w:cs="David"/>
          <w:sz w:val="24"/>
          <w:szCs w:val="24"/>
          <w:rtl/>
        </w:rPr>
        <w:t xml:space="preserve">פרשנות שלפיה בני זוג מאותו מין באים בגדרי </w:t>
      </w:r>
      <w:r>
        <w:rPr>
          <w:rFonts w:cs="David" w:hint="cs"/>
          <w:sz w:val="24"/>
          <w:szCs w:val="24"/>
          <w:rtl/>
        </w:rPr>
        <w:t>הסעיף</w:t>
      </w:r>
      <w:r w:rsidR="00E51F1B">
        <w:rPr>
          <w:rFonts w:cs="David" w:hint="cs"/>
          <w:sz w:val="24"/>
          <w:szCs w:val="24"/>
          <w:rtl/>
        </w:rPr>
        <w:t>,</w:t>
      </w:r>
      <w:r w:rsidR="00094D8B" w:rsidRPr="00094D8B">
        <w:rPr>
          <w:rFonts w:cs="David"/>
          <w:sz w:val="24"/>
          <w:szCs w:val="24"/>
          <w:rtl/>
        </w:rPr>
        <w:t xml:space="preserve"> מיטיבה לקד</w:t>
      </w:r>
      <w:r w:rsidR="00E51F1B">
        <w:rPr>
          <w:rFonts w:cs="David" w:hint="cs"/>
          <w:sz w:val="24"/>
          <w:szCs w:val="24"/>
          <w:rtl/>
        </w:rPr>
        <w:t xml:space="preserve">ם את </w:t>
      </w:r>
      <w:r w:rsidR="00E51F1B" w:rsidRPr="00094D8B">
        <w:rPr>
          <w:rFonts w:cs="David"/>
          <w:sz w:val="24"/>
          <w:szCs w:val="24"/>
          <w:rtl/>
        </w:rPr>
        <w:t xml:space="preserve">התכלית </w:t>
      </w:r>
      <w:r>
        <w:rPr>
          <w:rFonts w:cs="David" w:hint="cs"/>
          <w:sz w:val="24"/>
          <w:szCs w:val="24"/>
          <w:rtl/>
        </w:rPr>
        <w:t xml:space="preserve">האובייקטיבית </w:t>
      </w:r>
      <w:r w:rsidR="00E51F1B" w:rsidRPr="00094D8B">
        <w:rPr>
          <w:rFonts w:cs="David"/>
          <w:sz w:val="24"/>
          <w:szCs w:val="24"/>
          <w:rtl/>
        </w:rPr>
        <w:t>העיקרית של חוק האימוץ – טובת הילד</w:t>
      </w:r>
      <w:r w:rsidR="00094D8B" w:rsidRPr="00094D8B">
        <w:rPr>
          <w:rFonts w:cs="David"/>
          <w:sz w:val="24"/>
          <w:szCs w:val="24"/>
          <w:rtl/>
        </w:rPr>
        <w:t xml:space="preserve">. </w:t>
      </w:r>
      <w:r w:rsidR="00094D8B">
        <w:rPr>
          <w:rFonts w:cs="David" w:hint="cs"/>
          <w:sz w:val="24"/>
          <w:szCs w:val="24"/>
          <w:rtl/>
        </w:rPr>
        <w:t>זאת, בשים לב</w:t>
      </w:r>
      <w:r w:rsidR="000A54EA" w:rsidRPr="008110BA">
        <w:rPr>
          <w:rFonts w:cs="David" w:hint="cs"/>
          <w:sz w:val="24"/>
          <w:szCs w:val="24"/>
          <w:rtl/>
        </w:rPr>
        <w:t xml:space="preserve"> </w:t>
      </w:r>
      <w:r w:rsidR="00094D8B">
        <w:rPr>
          <w:rFonts w:cs="David" w:hint="cs"/>
          <w:sz w:val="24"/>
          <w:szCs w:val="24"/>
          <w:rtl/>
        </w:rPr>
        <w:t>ל</w:t>
      </w:r>
      <w:r w:rsidR="00094D8B" w:rsidRPr="00094D8B">
        <w:rPr>
          <w:rFonts w:cs="David"/>
          <w:sz w:val="24"/>
          <w:szCs w:val="24"/>
          <w:rtl/>
        </w:rPr>
        <w:t>עמ</w:t>
      </w:r>
      <w:r w:rsidR="00094D8B">
        <w:rPr>
          <w:rFonts w:cs="David"/>
          <w:sz w:val="24"/>
          <w:szCs w:val="24"/>
          <w:rtl/>
        </w:rPr>
        <w:t xml:space="preserve">דות </w:t>
      </w:r>
      <w:r w:rsidR="00110C14">
        <w:rPr>
          <w:rFonts w:cs="David" w:hint="cs"/>
          <w:sz w:val="24"/>
          <w:szCs w:val="24"/>
          <w:rtl/>
        </w:rPr>
        <w:t>המקצועיות המבוססות</w:t>
      </w:r>
      <w:r w:rsidR="00094D8B">
        <w:rPr>
          <w:rFonts w:cs="David"/>
          <w:sz w:val="24"/>
          <w:szCs w:val="24"/>
          <w:rtl/>
        </w:rPr>
        <w:t xml:space="preserve"> </w:t>
      </w:r>
      <w:r w:rsidR="00110C14">
        <w:rPr>
          <w:rFonts w:cs="David" w:hint="cs"/>
          <w:sz w:val="24"/>
          <w:szCs w:val="24"/>
          <w:rtl/>
        </w:rPr>
        <w:t>של גורמי המקצוע אשר הוצגו</w:t>
      </w:r>
      <w:r w:rsidR="00094D8B">
        <w:rPr>
          <w:rFonts w:cs="David"/>
          <w:sz w:val="24"/>
          <w:szCs w:val="24"/>
          <w:rtl/>
        </w:rPr>
        <w:t xml:space="preserve"> </w:t>
      </w:r>
      <w:r w:rsidR="00094D8B">
        <w:rPr>
          <w:rFonts w:cs="David" w:hint="cs"/>
          <w:sz w:val="24"/>
          <w:szCs w:val="24"/>
          <w:rtl/>
        </w:rPr>
        <w:t>במסגרת ההליך</w:t>
      </w:r>
      <w:r>
        <w:rPr>
          <w:rFonts w:cs="David" w:hint="cs"/>
          <w:sz w:val="24"/>
          <w:szCs w:val="24"/>
          <w:rtl/>
        </w:rPr>
        <w:t>, ה</w:t>
      </w:r>
      <w:r w:rsidR="00094D8B" w:rsidRPr="00094D8B">
        <w:rPr>
          <w:rFonts w:cs="David"/>
          <w:sz w:val="24"/>
          <w:szCs w:val="24"/>
          <w:rtl/>
        </w:rPr>
        <w:t xml:space="preserve">מעידות </w:t>
      </w:r>
      <w:r>
        <w:rPr>
          <w:rFonts w:cs="David" w:hint="cs"/>
          <w:sz w:val="24"/>
          <w:szCs w:val="24"/>
          <w:rtl/>
        </w:rPr>
        <w:t xml:space="preserve">כולן </w:t>
      </w:r>
      <w:r w:rsidR="00094D8B" w:rsidRPr="00094D8B">
        <w:rPr>
          <w:rFonts w:cs="David"/>
          <w:sz w:val="24"/>
          <w:szCs w:val="24"/>
          <w:rtl/>
        </w:rPr>
        <w:t>כי לנטייה המינית של ההורים אין השפעה על טובת הילד.</w:t>
      </w:r>
      <w:r w:rsidR="00094D8B">
        <w:rPr>
          <w:rFonts w:cs="David" w:hint="cs"/>
          <w:sz w:val="24"/>
          <w:szCs w:val="24"/>
          <w:rtl/>
        </w:rPr>
        <w:t xml:space="preserve"> </w:t>
      </w:r>
      <w:r w:rsidR="000840E5">
        <w:rPr>
          <w:rFonts w:cs="David" w:hint="cs"/>
          <w:sz w:val="24"/>
          <w:szCs w:val="24"/>
          <w:rtl/>
        </w:rPr>
        <w:t>לצד זאת</w:t>
      </w:r>
      <w:r w:rsidR="00110C14">
        <w:rPr>
          <w:rFonts w:cs="David" w:hint="cs"/>
          <w:sz w:val="24"/>
          <w:szCs w:val="24"/>
          <w:rtl/>
        </w:rPr>
        <w:t>,</w:t>
      </w:r>
      <w:r w:rsidR="008F13F9">
        <w:rPr>
          <w:rFonts w:cs="David" w:hint="cs"/>
          <w:sz w:val="24"/>
          <w:szCs w:val="24"/>
          <w:rtl/>
        </w:rPr>
        <w:t xml:space="preserve"> </w:t>
      </w:r>
      <w:r w:rsidR="00110C14">
        <w:rPr>
          <w:rFonts w:cs="David" w:hint="cs"/>
          <w:sz w:val="24"/>
          <w:szCs w:val="24"/>
          <w:rtl/>
        </w:rPr>
        <w:t>צוין</w:t>
      </w:r>
      <w:r w:rsidR="008F13F9">
        <w:rPr>
          <w:rFonts w:cs="David" w:hint="cs"/>
          <w:sz w:val="24"/>
          <w:szCs w:val="24"/>
          <w:rtl/>
        </w:rPr>
        <w:t xml:space="preserve"> </w:t>
      </w:r>
      <w:r w:rsidR="00110C14">
        <w:rPr>
          <w:rFonts w:cs="David" w:hint="cs"/>
          <w:sz w:val="24"/>
          <w:szCs w:val="24"/>
          <w:rtl/>
        </w:rPr>
        <w:t xml:space="preserve">כי אף </w:t>
      </w:r>
      <w:r w:rsidR="00110C14" w:rsidRPr="00951680">
        <w:rPr>
          <w:rFonts w:cs="David"/>
          <w:sz w:val="24"/>
          <w:szCs w:val="24"/>
          <w:rtl/>
        </w:rPr>
        <w:t>הגשמתה של הזכות החוקתית לשוויון</w:t>
      </w:r>
      <w:r w:rsidR="00110C14">
        <w:rPr>
          <w:rFonts w:cs="David" w:hint="cs"/>
          <w:sz w:val="24"/>
          <w:szCs w:val="24"/>
          <w:rtl/>
        </w:rPr>
        <w:t xml:space="preserve"> </w:t>
      </w:r>
      <w:r w:rsidR="00951680" w:rsidRPr="00951680">
        <w:rPr>
          <w:rFonts w:cs="David"/>
          <w:sz w:val="24"/>
          <w:szCs w:val="24"/>
          <w:rtl/>
        </w:rPr>
        <w:t>תומכת בפרשנות זו</w:t>
      </w:r>
      <w:r>
        <w:rPr>
          <w:rFonts w:cs="David" w:hint="cs"/>
          <w:sz w:val="24"/>
          <w:szCs w:val="24"/>
          <w:rtl/>
        </w:rPr>
        <w:t xml:space="preserve"> שכן</w:t>
      </w:r>
      <w:r w:rsidR="007538A2">
        <w:rPr>
          <w:rFonts w:cs="David" w:hint="cs"/>
          <w:sz w:val="24"/>
          <w:szCs w:val="24"/>
          <w:rtl/>
        </w:rPr>
        <w:t xml:space="preserve"> ההפליה בין זוגות הטרוסקסואליים לבין זוגות בני אותו מין נושאת עמה </w:t>
      </w:r>
      <w:r w:rsidR="007538A2" w:rsidRPr="007538A2">
        <w:rPr>
          <w:rFonts w:cs="David"/>
          <w:sz w:val="24"/>
          <w:szCs w:val="24"/>
          <w:rtl/>
        </w:rPr>
        <w:t xml:space="preserve">מסר </w:t>
      </w:r>
      <w:r w:rsidR="007538A2">
        <w:rPr>
          <w:rFonts w:cs="David" w:hint="cs"/>
          <w:sz w:val="24"/>
          <w:szCs w:val="24"/>
          <w:rtl/>
        </w:rPr>
        <w:t>שלפי</w:t>
      </w:r>
      <w:r w:rsidR="002F7A38">
        <w:rPr>
          <w:rFonts w:cs="David" w:hint="cs"/>
          <w:sz w:val="24"/>
          <w:szCs w:val="24"/>
          <w:rtl/>
        </w:rPr>
        <w:t>ו</w:t>
      </w:r>
      <w:r w:rsidR="007538A2">
        <w:rPr>
          <w:rFonts w:cs="David"/>
          <w:sz w:val="24"/>
          <w:szCs w:val="24"/>
          <w:rtl/>
        </w:rPr>
        <w:t xml:space="preserve"> </w:t>
      </w:r>
      <w:r w:rsidR="007538A2" w:rsidRPr="007538A2">
        <w:rPr>
          <w:rFonts w:cs="David"/>
          <w:sz w:val="24"/>
          <w:szCs w:val="24"/>
          <w:rtl/>
        </w:rPr>
        <w:t>נטייתו המינית של אדם – שה</w:t>
      </w:r>
      <w:r w:rsidR="00C84774">
        <w:rPr>
          <w:rFonts w:cs="David" w:hint="cs"/>
          <w:sz w:val="24"/>
          <w:szCs w:val="24"/>
          <w:rtl/>
        </w:rPr>
        <w:t>י</w:t>
      </w:r>
      <w:r w:rsidR="007538A2" w:rsidRPr="007538A2">
        <w:rPr>
          <w:rFonts w:cs="David"/>
          <w:sz w:val="24"/>
          <w:szCs w:val="24"/>
          <w:rtl/>
        </w:rPr>
        <w:t>א מאפיין משמעותי בזהותו – משליכה על יכולתו לספק בית מיטיב ואוהב לילד, וכי הורותם של זוגות מאותו מין היא נחותה בהשוואה להורות במסגרת תא משפחתי מסורתי.</w:t>
      </w:r>
      <w:r w:rsidR="001006FC">
        <w:rPr>
          <w:rFonts w:cs="David" w:hint="cs"/>
          <w:sz w:val="24"/>
          <w:szCs w:val="24"/>
          <w:rtl/>
        </w:rPr>
        <w:t xml:space="preserve"> נוכח כל האמור לעיל</w:t>
      </w:r>
      <w:r>
        <w:rPr>
          <w:rFonts w:cs="David" w:hint="cs"/>
          <w:sz w:val="24"/>
          <w:szCs w:val="24"/>
          <w:rtl/>
        </w:rPr>
        <w:t>,</w:t>
      </w:r>
      <w:r w:rsidR="001006FC">
        <w:rPr>
          <w:rFonts w:cs="David" w:hint="cs"/>
          <w:sz w:val="24"/>
          <w:szCs w:val="24"/>
          <w:rtl/>
        </w:rPr>
        <w:t xml:space="preserve"> קבע ממלא מקום הנשיא כי יש לפרש את סעיף 3 לחוק האימוץ כך שגם בני זוג מאותו המין כשירים לאמץ ילדים בישראל. </w:t>
      </w:r>
    </w:p>
    <w:p w:rsidR="00772382" w:rsidRPr="007538A2" w:rsidRDefault="00772382" w:rsidP="001006FC">
      <w:pPr>
        <w:spacing w:line="360" w:lineRule="auto"/>
        <w:jc w:val="both"/>
        <w:rPr>
          <w:rFonts w:cs="David"/>
          <w:sz w:val="24"/>
          <w:szCs w:val="24"/>
          <w:rtl/>
        </w:rPr>
      </w:pPr>
      <w:r>
        <w:rPr>
          <w:rFonts w:cs="David" w:hint="cs"/>
          <w:sz w:val="24"/>
          <w:szCs w:val="24"/>
          <w:rtl/>
        </w:rPr>
        <w:t xml:space="preserve">השופט א' שטיין הצטרף למסקנתו של ממלא מקום הנשיא. לשיטת השופט א' שטיין, סעיף 6 לחוק הפרשנות, התשמ"א-1981 </w:t>
      </w:r>
      <w:r w:rsidR="00DB4BE7">
        <w:rPr>
          <w:rFonts w:cs="David"/>
          <w:sz w:val="24"/>
          <w:szCs w:val="24"/>
          <w:rtl/>
        </w:rPr>
        <w:t>–</w:t>
      </w:r>
      <w:r w:rsidR="00DB4BE7">
        <w:rPr>
          <w:rFonts w:cs="David" w:hint="cs"/>
          <w:sz w:val="24"/>
          <w:szCs w:val="24"/>
          <w:rtl/>
        </w:rPr>
        <w:t xml:space="preserve"> </w:t>
      </w:r>
      <w:r>
        <w:rPr>
          <w:rFonts w:cs="David" w:hint="cs"/>
          <w:sz w:val="24"/>
          <w:szCs w:val="24"/>
          <w:rtl/>
        </w:rPr>
        <w:t>שקובע כי: "</w:t>
      </w:r>
      <w:r w:rsidRPr="00772382">
        <w:rPr>
          <w:rFonts w:cs="David"/>
          <w:sz w:val="24"/>
          <w:szCs w:val="24"/>
          <w:rtl/>
        </w:rPr>
        <w:t>האמור בלשון זכר –</w:t>
      </w:r>
      <w:r>
        <w:rPr>
          <w:rFonts w:cs="David"/>
          <w:sz w:val="24"/>
          <w:szCs w:val="24"/>
          <w:rtl/>
        </w:rPr>
        <w:t xml:space="preserve"> אף לשון נקבה במשמע, וכן להיפך"</w:t>
      </w:r>
      <w:r>
        <w:rPr>
          <w:rFonts w:cs="David" w:hint="cs"/>
          <w:sz w:val="24"/>
          <w:szCs w:val="24"/>
          <w:rtl/>
        </w:rPr>
        <w:t xml:space="preserve"> </w:t>
      </w:r>
      <w:r w:rsidR="00DB4BE7">
        <w:rPr>
          <w:rFonts w:cs="David" w:hint="cs"/>
          <w:sz w:val="24"/>
          <w:szCs w:val="24"/>
          <w:rtl/>
        </w:rPr>
        <w:t xml:space="preserve"> </w:t>
      </w:r>
      <w:r w:rsidR="00DB4BE7">
        <w:rPr>
          <w:rFonts w:cs="David"/>
          <w:sz w:val="24"/>
          <w:szCs w:val="24"/>
          <w:rtl/>
        </w:rPr>
        <w:t>–</w:t>
      </w:r>
      <w:r w:rsidR="00DB4BE7">
        <w:rPr>
          <w:rFonts w:cs="David" w:hint="cs"/>
          <w:sz w:val="24"/>
          <w:szCs w:val="24"/>
          <w:rtl/>
        </w:rPr>
        <w:t xml:space="preserve"> </w:t>
      </w:r>
      <w:r>
        <w:rPr>
          <w:rFonts w:cs="David" w:hint="cs"/>
          <w:sz w:val="24"/>
          <w:szCs w:val="24"/>
          <w:rtl/>
        </w:rPr>
        <w:t xml:space="preserve">מאפשר לפרש את המילים "איש ואשתו" כזוג שעשוי להיות מורכב </w:t>
      </w:r>
      <w:r w:rsidR="00CB3AA8">
        <w:rPr>
          <w:rFonts w:cs="David" w:hint="cs"/>
          <w:sz w:val="24"/>
          <w:szCs w:val="24"/>
          <w:rtl/>
        </w:rPr>
        <w:t xml:space="preserve">גם </w:t>
      </w:r>
      <w:r>
        <w:rPr>
          <w:rFonts w:cs="David" w:hint="cs"/>
          <w:sz w:val="24"/>
          <w:szCs w:val="24"/>
          <w:rtl/>
        </w:rPr>
        <w:t xml:space="preserve">משתי נשים או משני גברים, והכל בתנאי שהילד יאומץ אל תוך מערכת זוגית מוכרת. לשיטת השופט שטיין, פרשנות זו נתמכת על ידי עיקרון הניטרליות, </w:t>
      </w:r>
      <w:r w:rsidR="001006FC">
        <w:rPr>
          <w:rFonts w:cs="David" w:hint="cs"/>
          <w:sz w:val="24"/>
          <w:szCs w:val="24"/>
          <w:rtl/>
        </w:rPr>
        <w:t xml:space="preserve">שלפיו </w:t>
      </w:r>
      <w:r>
        <w:rPr>
          <w:rFonts w:cs="David" w:hint="cs"/>
          <w:sz w:val="24"/>
          <w:szCs w:val="24"/>
          <w:rtl/>
        </w:rPr>
        <w:t>המדינה אמורה להיות ניטרלית ביחסה אל דפוסי הזוגיות והמשפחה שאזרחיה הבוגרים בוחרים עבור עצמם</w:t>
      </w:r>
      <w:r w:rsidR="001F2422">
        <w:rPr>
          <w:rFonts w:cs="David" w:hint="cs"/>
          <w:sz w:val="24"/>
          <w:szCs w:val="24"/>
          <w:rtl/>
        </w:rPr>
        <w:t>, וכן על ידי הכלל הקובע כי ביטויים כלליים שנועדו לשרת את מטרות החוק במשך שנים ארוכות צריכים להתפרש בהתאם למשמעותם המקובלת בזמן יישומם</w:t>
      </w:r>
      <w:r>
        <w:rPr>
          <w:rFonts w:cs="David" w:hint="cs"/>
          <w:sz w:val="24"/>
          <w:szCs w:val="24"/>
          <w:rtl/>
        </w:rPr>
        <w:t xml:space="preserve">. </w:t>
      </w:r>
    </w:p>
    <w:p w:rsidR="00625309" w:rsidRPr="00727375" w:rsidRDefault="00A17BCB" w:rsidP="005935E6">
      <w:pPr>
        <w:spacing w:line="360" w:lineRule="auto"/>
        <w:jc w:val="both"/>
        <w:rPr>
          <w:rFonts w:cs="David"/>
          <w:sz w:val="24"/>
          <w:szCs w:val="24"/>
          <w:rtl/>
        </w:rPr>
      </w:pPr>
      <w:r w:rsidRPr="00A17BCB">
        <w:rPr>
          <w:rFonts w:cs="David"/>
          <w:sz w:val="24"/>
          <w:szCs w:val="24"/>
          <w:rtl/>
        </w:rPr>
        <w:t xml:space="preserve">השופטת ג' כנפי-שטייניץ הצטרפה לחוות דעתו של ממלא מקום הנשיא. בחוות דעתה, ציינה השופטת כי בפרשנות הביטוי "איש ואשתו", יש להסתייע בהלכה הפרשנית שלפיה תפקידו של בית המשפט, בבואו לפרש את החוק, הוא להתאימו לתופעות החיים שבאו לעולם לאחר חקיקתו על מנת ליישבו עם מציאות החיים המשתנה, באופן שיגשים את תכליתו. בהקשר זה צוין כי בעת חקיקת חוק האימוץ, לפני למעלה משישה עשורים, לא הייתה כלל מודעות, למצער לא כמו בימינו, לקיומו של דגם זוגי חד מיני – וכי הביטוי "איש ואשתו יחד" נועד לבכר אימוץ זוגי כפי שהיה מוכר באותה תקופה, ולא לשלול אימוץ על ידי זוג חד מיני. פרשנות שלפיה ביטוי זה כולל גם בני זוג מאותו המין נובעת משינויי העיתים, ומגשימה את תכלית החוק שעניינה בשמירה על טובת הילד. השופטת הוסיפה כי פרשנות זו מתיישבת עם הפרשנות המשפטית שניתנה במרוצת השנים לביטוי "בני זוג" ו"איש ואישה"; וכן עם התפתחויות החברתיות והמשפטיות שחלו בישראל בכל הנוגע להכרה בזכותם של זוגות ופרטים מתוך קהילת </w:t>
      </w:r>
      <w:proofErr w:type="spellStart"/>
      <w:r w:rsidRPr="00A17BCB">
        <w:rPr>
          <w:rFonts w:cs="David"/>
          <w:sz w:val="24"/>
          <w:szCs w:val="24"/>
          <w:rtl/>
        </w:rPr>
        <w:t>הלהט"ב</w:t>
      </w:r>
      <w:proofErr w:type="spellEnd"/>
      <w:r w:rsidRPr="00A17BCB">
        <w:rPr>
          <w:rFonts w:cs="David"/>
          <w:sz w:val="24"/>
          <w:szCs w:val="24"/>
          <w:rtl/>
        </w:rPr>
        <w:t xml:space="preserve"> לשוויון, לכבוד ולהורות. פרשנות זו, המכניסה בני זוג מאותו המין ב"דלת הראשית" של חוק האימוץ, בדומה לזוגות הטרוסקסואלים, מתחייבת אפוא משינויי העיתים, מעקרון טובת הילד, מכבוד האדם ומעקרון השוויון. בבסיסה עומדת ההכרה כי תא משפחתי יציב ואוהב, היכול להוות בסיס איתן לגידול ילד בריא, יכול להיות תא משפחתי של איש ואישה, של אישה ואישה, ושל איש ואיש – ובלבד שטובת הילד נשמרת</w:t>
      </w:r>
      <w:r>
        <w:rPr>
          <w:rFonts w:cs="David" w:hint="cs"/>
          <w:sz w:val="24"/>
          <w:szCs w:val="24"/>
          <w:rtl/>
        </w:rPr>
        <w:t>.</w:t>
      </w:r>
    </w:p>
    <w:sectPr w:rsidR="00625309" w:rsidRPr="00727375" w:rsidSect="00603463">
      <w:headerReference w:type="default" r:id="rId7"/>
      <w:foot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357" w:rsidRDefault="00F24357" w:rsidP="00A964EC">
      <w:pPr>
        <w:spacing w:after="0" w:line="240" w:lineRule="auto"/>
      </w:pPr>
      <w:r>
        <w:separator/>
      </w:r>
    </w:p>
  </w:endnote>
  <w:endnote w:type="continuationSeparator" w:id="0">
    <w:p w:rsidR="00F24357" w:rsidRDefault="00F24357" w:rsidP="00A964EC">
      <w:pPr>
        <w:spacing w:after="0" w:line="240" w:lineRule="auto"/>
      </w:pPr>
      <w:r>
        <w:continuationSeparator/>
      </w:r>
    </w:p>
  </w:endnote>
  <w:endnote w:type="continuationNotice" w:id="1">
    <w:p w:rsidR="00F24357" w:rsidRDefault="00F243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TUR">
    <w:altName w:val="Arial"/>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2AB" w:rsidRDefault="00D762A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357" w:rsidRDefault="00F24357" w:rsidP="00A964EC">
      <w:pPr>
        <w:spacing w:after="0" w:line="240" w:lineRule="auto"/>
      </w:pPr>
      <w:r>
        <w:separator/>
      </w:r>
    </w:p>
  </w:footnote>
  <w:footnote w:type="continuationSeparator" w:id="0">
    <w:p w:rsidR="00F24357" w:rsidRDefault="00F24357" w:rsidP="00A964EC">
      <w:pPr>
        <w:spacing w:after="0" w:line="240" w:lineRule="auto"/>
      </w:pPr>
      <w:r>
        <w:continuationSeparator/>
      </w:r>
    </w:p>
  </w:footnote>
  <w:footnote w:type="continuationNotice" w:id="1">
    <w:p w:rsidR="00F24357" w:rsidRDefault="00F243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76" w:rsidRDefault="006D1C76">
    <w:pPr>
      <w:pStyle w:val="a5"/>
    </w:pPr>
    <w:r w:rsidRPr="00C06276">
      <w:rPr>
        <w:rFonts w:cs="David"/>
        <w:noProof/>
      </w:rPr>
      <w:drawing>
        <wp:anchor distT="0" distB="0" distL="114300" distR="114300" simplePos="0" relativeHeight="251658240" behindDoc="1" locked="0" layoutInCell="1" allowOverlap="1" wp14:anchorId="396E0B06" wp14:editId="4DA9AA30">
          <wp:simplePos x="0" y="0"/>
          <wp:positionH relativeFrom="column">
            <wp:posOffset>2353310</wp:posOffset>
          </wp:positionH>
          <wp:positionV relativeFrom="paragraph">
            <wp:posOffset>-216362</wp:posOffset>
          </wp:positionV>
          <wp:extent cx="525145" cy="621030"/>
          <wp:effectExtent l="0" t="0" r="8255" b="7620"/>
          <wp:wrapTight wrapText="bothSides">
            <wp:wrapPolygon edited="0">
              <wp:start x="0" y="0"/>
              <wp:lineTo x="0" y="21202"/>
              <wp:lineTo x="21156" y="21202"/>
              <wp:lineTo x="21156" y="0"/>
              <wp:lineTo x="0" y="0"/>
            </wp:wrapPolygon>
          </wp:wrapTight>
          <wp:docPr id="2" name="תמונה 2" descr="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 cy="62103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D3E0B4EE"/>
    <w:lvl w:ilvl="0" w:tplc="7654F14C">
      <w:start w:val="1"/>
      <w:numFmt w:val="decimal"/>
      <w:pStyle w:val="Ruller4"/>
      <w:lvlText w:val="%1."/>
      <w:lvlJc w:val="left"/>
      <w:pPr>
        <w:tabs>
          <w:tab w:val="num" w:pos="907"/>
        </w:tabs>
        <w:ind w:left="0" w:firstLine="0"/>
      </w:pPr>
      <w:rPr>
        <w:rFonts w:hint="default"/>
      </w:rPr>
    </w:lvl>
    <w:lvl w:ilvl="1" w:tplc="7ADCB122">
      <w:start w:val="1"/>
      <w:numFmt w:val="lowerLetter"/>
      <w:lvlText w:val="%2."/>
      <w:lvlJc w:val="left"/>
      <w:pPr>
        <w:tabs>
          <w:tab w:val="num" w:pos="1440"/>
        </w:tabs>
        <w:ind w:left="1440" w:hanging="360"/>
      </w:pPr>
    </w:lvl>
    <w:lvl w:ilvl="2" w:tplc="09C675A0" w:tentative="1">
      <w:start w:val="1"/>
      <w:numFmt w:val="lowerRoman"/>
      <w:lvlText w:val="%3."/>
      <w:lvlJc w:val="right"/>
      <w:pPr>
        <w:tabs>
          <w:tab w:val="num" w:pos="2160"/>
        </w:tabs>
        <w:ind w:left="2160" w:hanging="180"/>
      </w:pPr>
    </w:lvl>
    <w:lvl w:ilvl="3" w:tplc="0C8470CA" w:tentative="1">
      <w:start w:val="1"/>
      <w:numFmt w:val="decimal"/>
      <w:lvlText w:val="%4."/>
      <w:lvlJc w:val="left"/>
      <w:pPr>
        <w:tabs>
          <w:tab w:val="num" w:pos="2880"/>
        </w:tabs>
        <w:ind w:left="2880" w:hanging="360"/>
      </w:pPr>
    </w:lvl>
    <w:lvl w:ilvl="4" w:tplc="62CEE652" w:tentative="1">
      <w:start w:val="1"/>
      <w:numFmt w:val="lowerLetter"/>
      <w:lvlText w:val="%5."/>
      <w:lvlJc w:val="left"/>
      <w:pPr>
        <w:tabs>
          <w:tab w:val="num" w:pos="3600"/>
        </w:tabs>
        <w:ind w:left="3600" w:hanging="360"/>
      </w:pPr>
    </w:lvl>
    <w:lvl w:ilvl="5" w:tplc="6B6A2BA2" w:tentative="1">
      <w:start w:val="1"/>
      <w:numFmt w:val="lowerRoman"/>
      <w:lvlText w:val="%6."/>
      <w:lvlJc w:val="right"/>
      <w:pPr>
        <w:tabs>
          <w:tab w:val="num" w:pos="4320"/>
        </w:tabs>
        <w:ind w:left="4320" w:hanging="180"/>
      </w:pPr>
    </w:lvl>
    <w:lvl w:ilvl="6" w:tplc="631CB45E" w:tentative="1">
      <w:start w:val="1"/>
      <w:numFmt w:val="decimal"/>
      <w:lvlText w:val="%7."/>
      <w:lvlJc w:val="left"/>
      <w:pPr>
        <w:tabs>
          <w:tab w:val="num" w:pos="5040"/>
        </w:tabs>
        <w:ind w:left="5040" w:hanging="360"/>
      </w:pPr>
    </w:lvl>
    <w:lvl w:ilvl="7" w:tplc="201E92C6" w:tentative="1">
      <w:start w:val="1"/>
      <w:numFmt w:val="lowerLetter"/>
      <w:lvlText w:val="%8."/>
      <w:lvlJc w:val="left"/>
      <w:pPr>
        <w:tabs>
          <w:tab w:val="num" w:pos="5760"/>
        </w:tabs>
        <w:ind w:left="5760" w:hanging="360"/>
      </w:pPr>
    </w:lvl>
    <w:lvl w:ilvl="8" w:tplc="64928E24" w:tentative="1">
      <w:start w:val="1"/>
      <w:numFmt w:val="lowerRoman"/>
      <w:lvlText w:val="%9."/>
      <w:lvlJc w:val="right"/>
      <w:pPr>
        <w:tabs>
          <w:tab w:val="num" w:pos="6480"/>
        </w:tabs>
        <w:ind w:left="6480" w:hanging="180"/>
      </w:pPr>
    </w:lvl>
  </w:abstractNum>
  <w:abstractNum w:abstractNumId="1" w15:restartNumberingAfterBreak="0">
    <w:nsid w:val="1D447BA8"/>
    <w:multiLevelType w:val="hybridMultilevel"/>
    <w:tmpl w:val="393C0002"/>
    <w:lvl w:ilvl="0" w:tplc="19FC526A">
      <w:start w:val="1"/>
      <w:numFmt w:val="decimal"/>
      <w:lvlText w:val="%1."/>
      <w:lvlJc w:val="left"/>
      <w:pPr>
        <w:ind w:left="720" w:hanging="360"/>
      </w:pPr>
      <w:rPr>
        <w:rFonts w:hint="default"/>
      </w:rPr>
    </w:lvl>
    <w:lvl w:ilvl="1" w:tplc="30F6C222" w:tentative="1">
      <w:start w:val="1"/>
      <w:numFmt w:val="lowerLetter"/>
      <w:lvlText w:val="%2."/>
      <w:lvlJc w:val="left"/>
      <w:pPr>
        <w:ind w:left="1440" w:hanging="360"/>
      </w:pPr>
    </w:lvl>
    <w:lvl w:ilvl="2" w:tplc="1AA0CCDE" w:tentative="1">
      <w:start w:val="1"/>
      <w:numFmt w:val="lowerRoman"/>
      <w:lvlText w:val="%3."/>
      <w:lvlJc w:val="right"/>
      <w:pPr>
        <w:ind w:left="2160" w:hanging="180"/>
      </w:pPr>
    </w:lvl>
    <w:lvl w:ilvl="3" w:tplc="F7647056" w:tentative="1">
      <w:start w:val="1"/>
      <w:numFmt w:val="decimal"/>
      <w:lvlText w:val="%4."/>
      <w:lvlJc w:val="left"/>
      <w:pPr>
        <w:ind w:left="2880" w:hanging="360"/>
      </w:pPr>
    </w:lvl>
    <w:lvl w:ilvl="4" w:tplc="EE3C1D68" w:tentative="1">
      <w:start w:val="1"/>
      <w:numFmt w:val="lowerLetter"/>
      <w:lvlText w:val="%5."/>
      <w:lvlJc w:val="left"/>
      <w:pPr>
        <w:ind w:left="3600" w:hanging="360"/>
      </w:pPr>
    </w:lvl>
    <w:lvl w:ilvl="5" w:tplc="9734217A" w:tentative="1">
      <w:start w:val="1"/>
      <w:numFmt w:val="lowerRoman"/>
      <w:lvlText w:val="%6."/>
      <w:lvlJc w:val="right"/>
      <w:pPr>
        <w:ind w:left="4320" w:hanging="180"/>
      </w:pPr>
    </w:lvl>
    <w:lvl w:ilvl="6" w:tplc="A792FB16" w:tentative="1">
      <w:start w:val="1"/>
      <w:numFmt w:val="decimal"/>
      <w:lvlText w:val="%7."/>
      <w:lvlJc w:val="left"/>
      <w:pPr>
        <w:ind w:left="5040" w:hanging="360"/>
      </w:pPr>
    </w:lvl>
    <w:lvl w:ilvl="7" w:tplc="FC722538" w:tentative="1">
      <w:start w:val="1"/>
      <w:numFmt w:val="lowerLetter"/>
      <w:lvlText w:val="%8."/>
      <w:lvlJc w:val="left"/>
      <w:pPr>
        <w:ind w:left="5760" w:hanging="360"/>
      </w:pPr>
    </w:lvl>
    <w:lvl w:ilvl="8" w:tplc="3C92F6FA" w:tentative="1">
      <w:start w:val="1"/>
      <w:numFmt w:val="lowerRoman"/>
      <w:lvlText w:val="%9."/>
      <w:lvlJc w:val="right"/>
      <w:pPr>
        <w:ind w:left="6480" w:hanging="180"/>
      </w:pPr>
    </w:lvl>
  </w:abstractNum>
  <w:abstractNum w:abstractNumId="2" w15:restartNumberingAfterBreak="0">
    <w:nsid w:val="405F4482"/>
    <w:multiLevelType w:val="hybridMultilevel"/>
    <w:tmpl w:val="A84C0436"/>
    <w:lvl w:ilvl="0" w:tplc="2D0EBA6E">
      <w:start w:val="1"/>
      <w:numFmt w:val="hebrew1"/>
      <w:lvlText w:val="(%1)"/>
      <w:lvlJc w:val="left"/>
      <w:pPr>
        <w:ind w:left="720" w:hanging="360"/>
      </w:pPr>
      <w:rPr>
        <w:rFonts w:ascii="Arial TUR" w:hAnsi="Arial TU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8B21E9"/>
    <w:multiLevelType w:val="hybridMultilevel"/>
    <w:tmpl w:val="0BC871CE"/>
    <w:lvl w:ilvl="0" w:tplc="709C714A">
      <w:start w:val="1"/>
      <w:numFmt w:val="decimal"/>
      <w:lvlText w:val="%1."/>
      <w:lvlJc w:val="left"/>
      <w:pPr>
        <w:ind w:left="360" w:hanging="360"/>
      </w:pPr>
      <w:rPr>
        <w:rFonts w:hint="default"/>
        <w:sz w:val="28"/>
      </w:rPr>
    </w:lvl>
    <w:lvl w:ilvl="1" w:tplc="9D4AC7B0" w:tentative="1">
      <w:start w:val="1"/>
      <w:numFmt w:val="lowerLetter"/>
      <w:lvlText w:val="%2."/>
      <w:lvlJc w:val="left"/>
      <w:pPr>
        <w:ind w:left="1440" w:hanging="360"/>
      </w:pPr>
    </w:lvl>
    <w:lvl w:ilvl="2" w:tplc="529A5ACE" w:tentative="1">
      <w:start w:val="1"/>
      <w:numFmt w:val="lowerRoman"/>
      <w:lvlText w:val="%3."/>
      <w:lvlJc w:val="right"/>
      <w:pPr>
        <w:ind w:left="2160" w:hanging="180"/>
      </w:pPr>
    </w:lvl>
    <w:lvl w:ilvl="3" w:tplc="F34AE2A6" w:tentative="1">
      <w:start w:val="1"/>
      <w:numFmt w:val="decimal"/>
      <w:lvlText w:val="%4."/>
      <w:lvlJc w:val="left"/>
      <w:pPr>
        <w:ind w:left="2880" w:hanging="360"/>
      </w:pPr>
    </w:lvl>
    <w:lvl w:ilvl="4" w:tplc="B61A8AC4" w:tentative="1">
      <w:start w:val="1"/>
      <w:numFmt w:val="lowerLetter"/>
      <w:lvlText w:val="%5."/>
      <w:lvlJc w:val="left"/>
      <w:pPr>
        <w:ind w:left="3600" w:hanging="360"/>
      </w:pPr>
    </w:lvl>
    <w:lvl w:ilvl="5" w:tplc="F6D604B0" w:tentative="1">
      <w:start w:val="1"/>
      <w:numFmt w:val="lowerRoman"/>
      <w:lvlText w:val="%6."/>
      <w:lvlJc w:val="right"/>
      <w:pPr>
        <w:ind w:left="4320" w:hanging="180"/>
      </w:pPr>
    </w:lvl>
    <w:lvl w:ilvl="6" w:tplc="48346C9E" w:tentative="1">
      <w:start w:val="1"/>
      <w:numFmt w:val="decimal"/>
      <w:lvlText w:val="%7."/>
      <w:lvlJc w:val="left"/>
      <w:pPr>
        <w:ind w:left="5040" w:hanging="360"/>
      </w:pPr>
    </w:lvl>
    <w:lvl w:ilvl="7" w:tplc="73A4DB0C" w:tentative="1">
      <w:start w:val="1"/>
      <w:numFmt w:val="lowerLetter"/>
      <w:lvlText w:val="%8."/>
      <w:lvlJc w:val="left"/>
      <w:pPr>
        <w:ind w:left="5760" w:hanging="360"/>
      </w:pPr>
    </w:lvl>
    <w:lvl w:ilvl="8" w:tplc="E57C59FC"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1"/>
  </w:num>
  <w:num w:numId="6">
    <w:abstractNumId w:val="0"/>
  </w:num>
  <w:num w:numId="7">
    <w:abstractNumId w:val="2"/>
  </w:num>
  <w:num w:numId="8">
    <w:abstractNumId w:val="0"/>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FBE"/>
    <w:rsid w:val="00004BF5"/>
    <w:rsid w:val="00010B10"/>
    <w:rsid w:val="000178D7"/>
    <w:rsid w:val="00021AAF"/>
    <w:rsid w:val="00035CCA"/>
    <w:rsid w:val="0004475F"/>
    <w:rsid w:val="000529A1"/>
    <w:rsid w:val="00053EF8"/>
    <w:rsid w:val="0005491C"/>
    <w:rsid w:val="000659B6"/>
    <w:rsid w:val="000840E5"/>
    <w:rsid w:val="00094D8B"/>
    <w:rsid w:val="000953BD"/>
    <w:rsid w:val="000A00D4"/>
    <w:rsid w:val="000A2EBC"/>
    <w:rsid w:val="000A54EA"/>
    <w:rsid w:val="000A62A8"/>
    <w:rsid w:val="000D2D95"/>
    <w:rsid w:val="000D30EF"/>
    <w:rsid w:val="000F48C3"/>
    <w:rsid w:val="000F752A"/>
    <w:rsid w:val="000F7F9E"/>
    <w:rsid w:val="001006FC"/>
    <w:rsid w:val="00101113"/>
    <w:rsid w:val="00103316"/>
    <w:rsid w:val="00110C14"/>
    <w:rsid w:val="00111DE0"/>
    <w:rsid w:val="0012049E"/>
    <w:rsid w:val="00125D9B"/>
    <w:rsid w:val="00127877"/>
    <w:rsid w:val="001318F9"/>
    <w:rsid w:val="001436C2"/>
    <w:rsid w:val="00143994"/>
    <w:rsid w:val="00146AB1"/>
    <w:rsid w:val="0015104F"/>
    <w:rsid w:val="001559C6"/>
    <w:rsid w:val="00162E29"/>
    <w:rsid w:val="00172269"/>
    <w:rsid w:val="001728CE"/>
    <w:rsid w:val="00173A72"/>
    <w:rsid w:val="00177A77"/>
    <w:rsid w:val="0018693E"/>
    <w:rsid w:val="0018768B"/>
    <w:rsid w:val="00193890"/>
    <w:rsid w:val="0019546E"/>
    <w:rsid w:val="001A28E0"/>
    <w:rsid w:val="001A4DDB"/>
    <w:rsid w:val="001A5CCA"/>
    <w:rsid w:val="001A71A0"/>
    <w:rsid w:val="001B27A9"/>
    <w:rsid w:val="001B37D6"/>
    <w:rsid w:val="001B7068"/>
    <w:rsid w:val="001C0C3F"/>
    <w:rsid w:val="001C2D0A"/>
    <w:rsid w:val="001C3C6F"/>
    <w:rsid w:val="001D026E"/>
    <w:rsid w:val="001D0E81"/>
    <w:rsid w:val="001D4CBB"/>
    <w:rsid w:val="001E0D8D"/>
    <w:rsid w:val="001E11C9"/>
    <w:rsid w:val="001F2422"/>
    <w:rsid w:val="00200A5A"/>
    <w:rsid w:val="00204E9F"/>
    <w:rsid w:val="00214B92"/>
    <w:rsid w:val="0022236E"/>
    <w:rsid w:val="002246DD"/>
    <w:rsid w:val="00225E27"/>
    <w:rsid w:val="0022611B"/>
    <w:rsid w:val="0023129D"/>
    <w:rsid w:val="002326AF"/>
    <w:rsid w:val="00233051"/>
    <w:rsid w:val="00236227"/>
    <w:rsid w:val="002407D1"/>
    <w:rsid w:val="002454E3"/>
    <w:rsid w:val="0025029A"/>
    <w:rsid w:val="0025111D"/>
    <w:rsid w:val="002554E8"/>
    <w:rsid w:val="0025669F"/>
    <w:rsid w:val="00260AD1"/>
    <w:rsid w:val="00264A63"/>
    <w:rsid w:val="00272FDD"/>
    <w:rsid w:val="002751AA"/>
    <w:rsid w:val="00275B91"/>
    <w:rsid w:val="00276081"/>
    <w:rsid w:val="00277455"/>
    <w:rsid w:val="00286A6A"/>
    <w:rsid w:val="002A0CCF"/>
    <w:rsid w:val="002B4BF4"/>
    <w:rsid w:val="002B595E"/>
    <w:rsid w:val="002B7024"/>
    <w:rsid w:val="002B7D45"/>
    <w:rsid w:val="002C1028"/>
    <w:rsid w:val="002C51D2"/>
    <w:rsid w:val="002C720D"/>
    <w:rsid w:val="002D1693"/>
    <w:rsid w:val="002D490F"/>
    <w:rsid w:val="002E2E98"/>
    <w:rsid w:val="002E424C"/>
    <w:rsid w:val="002E7B77"/>
    <w:rsid w:val="002F0CCB"/>
    <w:rsid w:val="002F1737"/>
    <w:rsid w:val="002F1CF5"/>
    <w:rsid w:val="002F38F4"/>
    <w:rsid w:val="002F7A38"/>
    <w:rsid w:val="00301A9E"/>
    <w:rsid w:val="00304769"/>
    <w:rsid w:val="003137CD"/>
    <w:rsid w:val="00320639"/>
    <w:rsid w:val="003275B3"/>
    <w:rsid w:val="00334FC8"/>
    <w:rsid w:val="00353B10"/>
    <w:rsid w:val="00367985"/>
    <w:rsid w:val="00372C3C"/>
    <w:rsid w:val="00381FCB"/>
    <w:rsid w:val="00395E1B"/>
    <w:rsid w:val="00396AC3"/>
    <w:rsid w:val="003A6E41"/>
    <w:rsid w:val="003B14D3"/>
    <w:rsid w:val="003B1514"/>
    <w:rsid w:val="003B39F4"/>
    <w:rsid w:val="003B4C7E"/>
    <w:rsid w:val="003E2384"/>
    <w:rsid w:val="003E6ABE"/>
    <w:rsid w:val="003E7C20"/>
    <w:rsid w:val="003F0980"/>
    <w:rsid w:val="003F25A8"/>
    <w:rsid w:val="003F62AE"/>
    <w:rsid w:val="003F6CE8"/>
    <w:rsid w:val="003F7ADF"/>
    <w:rsid w:val="004027D5"/>
    <w:rsid w:val="00403ED9"/>
    <w:rsid w:val="00407F6B"/>
    <w:rsid w:val="00414149"/>
    <w:rsid w:val="00415C92"/>
    <w:rsid w:val="004313B5"/>
    <w:rsid w:val="00431F3B"/>
    <w:rsid w:val="0044184D"/>
    <w:rsid w:val="00445637"/>
    <w:rsid w:val="0045090E"/>
    <w:rsid w:val="00461921"/>
    <w:rsid w:val="0046373F"/>
    <w:rsid w:val="00471EA5"/>
    <w:rsid w:val="004918F3"/>
    <w:rsid w:val="004964E2"/>
    <w:rsid w:val="004A41B5"/>
    <w:rsid w:val="004A553E"/>
    <w:rsid w:val="004B25DC"/>
    <w:rsid w:val="004B5439"/>
    <w:rsid w:val="004C07E1"/>
    <w:rsid w:val="004C18F7"/>
    <w:rsid w:val="004C732A"/>
    <w:rsid w:val="004D08AF"/>
    <w:rsid w:val="004D26C6"/>
    <w:rsid w:val="004D2866"/>
    <w:rsid w:val="004D4ABF"/>
    <w:rsid w:val="004F61B9"/>
    <w:rsid w:val="00500D02"/>
    <w:rsid w:val="0050648E"/>
    <w:rsid w:val="00507A54"/>
    <w:rsid w:val="005120E2"/>
    <w:rsid w:val="00517490"/>
    <w:rsid w:val="005318F3"/>
    <w:rsid w:val="00534032"/>
    <w:rsid w:val="00534E37"/>
    <w:rsid w:val="005356DB"/>
    <w:rsid w:val="00536A56"/>
    <w:rsid w:val="00540D21"/>
    <w:rsid w:val="00541A58"/>
    <w:rsid w:val="0054456E"/>
    <w:rsid w:val="005446A7"/>
    <w:rsid w:val="00546AAC"/>
    <w:rsid w:val="00546F91"/>
    <w:rsid w:val="00550A21"/>
    <w:rsid w:val="0056063B"/>
    <w:rsid w:val="005623FC"/>
    <w:rsid w:val="00570B2D"/>
    <w:rsid w:val="005712D8"/>
    <w:rsid w:val="00571FF1"/>
    <w:rsid w:val="005749CC"/>
    <w:rsid w:val="00575936"/>
    <w:rsid w:val="00585C6D"/>
    <w:rsid w:val="00592BDE"/>
    <w:rsid w:val="005935E6"/>
    <w:rsid w:val="00594479"/>
    <w:rsid w:val="0059654E"/>
    <w:rsid w:val="005A3BE4"/>
    <w:rsid w:val="005A7D53"/>
    <w:rsid w:val="005B1E3F"/>
    <w:rsid w:val="005B6551"/>
    <w:rsid w:val="005C05AE"/>
    <w:rsid w:val="005C2340"/>
    <w:rsid w:val="005C27B1"/>
    <w:rsid w:val="005C2B77"/>
    <w:rsid w:val="005C35C6"/>
    <w:rsid w:val="005D2F16"/>
    <w:rsid w:val="005F3AD9"/>
    <w:rsid w:val="006008A7"/>
    <w:rsid w:val="00601EDB"/>
    <w:rsid w:val="00603463"/>
    <w:rsid w:val="00604EF9"/>
    <w:rsid w:val="006150DF"/>
    <w:rsid w:val="006169B8"/>
    <w:rsid w:val="00624E4D"/>
    <w:rsid w:val="00625309"/>
    <w:rsid w:val="00634C3B"/>
    <w:rsid w:val="00634ED5"/>
    <w:rsid w:val="00636F2A"/>
    <w:rsid w:val="00645264"/>
    <w:rsid w:val="006527D4"/>
    <w:rsid w:val="00655806"/>
    <w:rsid w:val="0066096B"/>
    <w:rsid w:val="00664898"/>
    <w:rsid w:val="00672517"/>
    <w:rsid w:val="00673DEE"/>
    <w:rsid w:val="006759A9"/>
    <w:rsid w:val="0069762C"/>
    <w:rsid w:val="006A03E7"/>
    <w:rsid w:val="006A5289"/>
    <w:rsid w:val="006B294C"/>
    <w:rsid w:val="006B3801"/>
    <w:rsid w:val="006B3F9C"/>
    <w:rsid w:val="006C62BB"/>
    <w:rsid w:val="006D1C76"/>
    <w:rsid w:val="006D5390"/>
    <w:rsid w:val="006D5DD8"/>
    <w:rsid w:val="006D77DB"/>
    <w:rsid w:val="00700D7D"/>
    <w:rsid w:val="00701A35"/>
    <w:rsid w:val="00710A93"/>
    <w:rsid w:val="007126B5"/>
    <w:rsid w:val="007152A0"/>
    <w:rsid w:val="0071771D"/>
    <w:rsid w:val="00723BA8"/>
    <w:rsid w:val="0072573A"/>
    <w:rsid w:val="00727375"/>
    <w:rsid w:val="00732ED8"/>
    <w:rsid w:val="007419E8"/>
    <w:rsid w:val="00745B38"/>
    <w:rsid w:val="00752626"/>
    <w:rsid w:val="00753800"/>
    <w:rsid w:val="007538A2"/>
    <w:rsid w:val="00755B9B"/>
    <w:rsid w:val="00756BB9"/>
    <w:rsid w:val="00760F72"/>
    <w:rsid w:val="007620D7"/>
    <w:rsid w:val="00766614"/>
    <w:rsid w:val="00772382"/>
    <w:rsid w:val="00772DDB"/>
    <w:rsid w:val="00774258"/>
    <w:rsid w:val="00783ACA"/>
    <w:rsid w:val="00784065"/>
    <w:rsid w:val="00791F4F"/>
    <w:rsid w:val="00794047"/>
    <w:rsid w:val="00795D4B"/>
    <w:rsid w:val="007A1906"/>
    <w:rsid w:val="007A4755"/>
    <w:rsid w:val="007B349D"/>
    <w:rsid w:val="007D20F7"/>
    <w:rsid w:val="007D3F73"/>
    <w:rsid w:val="007F0122"/>
    <w:rsid w:val="007F3E7B"/>
    <w:rsid w:val="007F4CE6"/>
    <w:rsid w:val="007F4CEA"/>
    <w:rsid w:val="007F5D93"/>
    <w:rsid w:val="007F6829"/>
    <w:rsid w:val="008013DF"/>
    <w:rsid w:val="00803DE9"/>
    <w:rsid w:val="00810213"/>
    <w:rsid w:val="008110BA"/>
    <w:rsid w:val="00812515"/>
    <w:rsid w:val="00814438"/>
    <w:rsid w:val="00827BF5"/>
    <w:rsid w:val="00831E84"/>
    <w:rsid w:val="00834194"/>
    <w:rsid w:val="00834395"/>
    <w:rsid w:val="008658E0"/>
    <w:rsid w:val="008676CD"/>
    <w:rsid w:val="008718FA"/>
    <w:rsid w:val="00882634"/>
    <w:rsid w:val="00883393"/>
    <w:rsid w:val="00890BC7"/>
    <w:rsid w:val="00891345"/>
    <w:rsid w:val="00897F0D"/>
    <w:rsid w:val="008B4331"/>
    <w:rsid w:val="008C4A9A"/>
    <w:rsid w:val="008C4DB4"/>
    <w:rsid w:val="008D7D20"/>
    <w:rsid w:val="008E167F"/>
    <w:rsid w:val="008E41C1"/>
    <w:rsid w:val="008E458B"/>
    <w:rsid w:val="008E6BD0"/>
    <w:rsid w:val="008F13F9"/>
    <w:rsid w:val="008F5DB5"/>
    <w:rsid w:val="008F611C"/>
    <w:rsid w:val="00905643"/>
    <w:rsid w:val="00911F77"/>
    <w:rsid w:val="00912927"/>
    <w:rsid w:val="00912B1A"/>
    <w:rsid w:val="009178B6"/>
    <w:rsid w:val="00932A47"/>
    <w:rsid w:val="009360A5"/>
    <w:rsid w:val="00947F43"/>
    <w:rsid w:val="00951680"/>
    <w:rsid w:val="0096475A"/>
    <w:rsid w:val="0097102F"/>
    <w:rsid w:val="00971281"/>
    <w:rsid w:val="0098447F"/>
    <w:rsid w:val="009862A4"/>
    <w:rsid w:val="00995A2B"/>
    <w:rsid w:val="00997EC7"/>
    <w:rsid w:val="009A25E9"/>
    <w:rsid w:val="009B0244"/>
    <w:rsid w:val="009B50C2"/>
    <w:rsid w:val="009B6A10"/>
    <w:rsid w:val="009B72B9"/>
    <w:rsid w:val="009C5756"/>
    <w:rsid w:val="009D779A"/>
    <w:rsid w:val="009E1101"/>
    <w:rsid w:val="009E280B"/>
    <w:rsid w:val="009E697F"/>
    <w:rsid w:val="009F529D"/>
    <w:rsid w:val="009F7802"/>
    <w:rsid w:val="00A04821"/>
    <w:rsid w:val="00A0634B"/>
    <w:rsid w:val="00A06E7C"/>
    <w:rsid w:val="00A0717F"/>
    <w:rsid w:val="00A118E0"/>
    <w:rsid w:val="00A15A0F"/>
    <w:rsid w:val="00A17BCB"/>
    <w:rsid w:val="00A20A54"/>
    <w:rsid w:val="00A2648F"/>
    <w:rsid w:val="00A31F6C"/>
    <w:rsid w:val="00A32EFC"/>
    <w:rsid w:val="00A5101A"/>
    <w:rsid w:val="00A71D38"/>
    <w:rsid w:val="00A72C1B"/>
    <w:rsid w:val="00A753BE"/>
    <w:rsid w:val="00A7630E"/>
    <w:rsid w:val="00A7715D"/>
    <w:rsid w:val="00A811CD"/>
    <w:rsid w:val="00A85EC5"/>
    <w:rsid w:val="00A93796"/>
    <w:rsid w:val="00A964EC"/>
    <w:rsid w:val="00AA1927"/>
    <w:rsid w:val="00AA2973"/>
    <w:rsid w:val="00AA3377"/>
    <w:rsid w:val="00AA5178"/>
    <w:rsid w:val="00AA6FCB"/>
    <w:rsid w:val="00AB2BD6"/>
    <w:rsid w:val="00AB55F4"/>
    <w:rsid w:val="00AB79D3"/>
    <w:rsid w:val="00AC39BB"/>
    <w:rsid w:val="00AD2F8C"/>
    <w:rsid w:val="00AD4E0D"/>
    <w:rsid w:val="00AD6A00"/>
    <w:rsid w:val="00B05814"/>
    <w:rsid w:val="00B13439"/>
    <w:rsid w:val="00B23B39"/>
    <w:rsid w:val="00B351C5"/>
    <w:rsid w:val="00B41DFB"/>
    <w:rsid w:val="00B41EB7"/>
    <w:rsid w:val="00B43429"/>
    <w:rsid w:val="00B443C1"/>
    <w:rsid w:val="00B467EF"/>
    <w:rsid w:val="00B56A47"/>
    <w:rsid w:val="00B63D17"/>
    <w:rsid w:val="00B7563E"/>
    <w:rsid w:val="00B82C8E"/>
    <w:rsid w:val="00B933F5"/>
    <w:rsid w:val="00BA02C1"/>
    <w:rsid w:val="00BA0ACA"/>
    <w:rsid w:val="00BB50DE"/>
    <w:rsid w:val="00BB53BD"/>
    <w:rsid w:val="00BB65E2"/>
    <w:rsid w:val="00BC7B27"/>
    <w:rsid w:val="00BE0013"/>
    <w:rsid w:val="00BE423E"/>
    <w:rsid w:val="00BE747A"/>
    <w:rsid w:val="00BF5901"/>
    <w:rsid w:val="00BF6D9C"/>
    <w:rsid w:val="00C04BD7"/>
    <w:rsid w:val="00C06276"/>
    <w:rsid w:val="00C149D8"/>
    <w:rsid w:val="00C24B07"/>
    <w:rsid w:val="00C50415"/>
    <w:rsid w:val="00C66314"/>
    <w:rsid w:val="00C70551"/>
    <w:rsid w:val="00C7343A"/>
    <w:rsid w:val="00C74199"/>
    <w:rsid w:val="00C7449D"/>
    <w:rsid w:val="00C76BC6"/>
    <w:rsid w:val="00C809DE"/>
    <w:rsid w:val="00C84774"/>
    <w:rsid w:val="00C8535C"/>
    <w:rsid w:val="00C866A2"/>
    <w:rsid w:val="00C90E1D"/>
    <w:rsid w:val="00C95C10"/>
    <w:rsid w:val="00C9632D"/>
    <w:rsid w:val="00CA4142"/>
    <w:rsid w:val="00CA4E62"/>
    <w:rsid w:val="00CA6CE5"/>
    <w:rsid w:val="00CA71FF"/>
    <w:rsid w:val="00CA752F"/>
    <w:rsid w:val="00CB29F2"/>
    <w:rsid w:val="00CB3AA8"/>
    <w:rsid w:val="00CB51D1"/>
    <w:rsid w:val="00CB52FD"/>
    <w:rsid w:val="00CC219A"/>
    <w:rsid w:val="00CD24C7"/>
    <w:rsid w:val="00CD4BC2"/>
    <w:rsid w:val="00CD6452"/>
    <w:rsid w:val="00CD7D61"/>
    <w:rsid w:val="00CE11C9"/>
    <w:rsid w:val="00CE1244"/>
    <w:rsid w:val="00CE1FC6"/>
    <w:rsid w:val="00CF2797"/>
    <w:rsid w:val="00CF47A3"/>
    <w:rsid w:val="00CF5BF6"/>
    <w:rsid w:val="00D1716E"/>
    <w:rsid w:val="00D21B66"/>
    <w:rsid w:val="00D43886"/>
    <w:rsid w:val="00D47B40"/>
    <w:rsid w:val="00D53949"/>
    <w:rsid w:val="00D57BB5"/>
    <w:rsid w:val="00D61310"/>
    <w:rsid w:val="00D6174A"/>
    <w:rsid w:val="00D63725"/>
    <w:rsid w:val="00D6713D"/>
    <w:rsid w:val="00D70572"/>
    <w:rsid w:val="00D70A25"/>
    <w:rsid w:val="00D715B3"/>
    <w:rsid w:val="00D762AB"/>
    <w:rsid w:val="00D777DE"/>
    <w:rsid w:val="00D77E2A"/>
    <w:rsid w:val="00D77E42"/>
    <w:rsid w:val="00D828E8"/>
    <w:rsid w:val="00D83B32"/>
    <w:rsid w:val="00D84FD6"/>
    <w:rsid w:val="00D86463"/>
    <w:rsid w:val="00D9322D"/>
    <w:rsid w:val="00DA1F17"/>
    <w:rsid w:val="00DB4BE7"/>
    <w:rsid w:val="00DB61B0"/>
    <w:rsid w:val="00DC0FC9"/>
    <w:rsid w:val="00DC2DF3"/>
    <w:rsid w:val="00DC3D33"/>
    <w:rsid w:val="00DC51CE"/>
    <w:rsid w:val="00DE3421"/>
    <w:rsid w:val="00DE3727"/>
    <w:rsid w:val="00DF6CDC"/>
    <w:rsid w:val="00DF70D8"/>
    <w:rsid w:val="00E0019F"/>
    <w:rsid w:val="00E00A0F"/>
    <w:rsid w:val="00E04CAA"/>
    <w:rsid w:val="00E065E1"/>
    <w:rsid w:val="00E07896"/>
    <w:rsid w:val="00E07B3C"/>
    <w:rsid w:val="00E10B83"/>
    <w:rsid w:val="00E1470C"/>
    <w:rsid w:val="00E15F63"/>
    <w:rsid w:val="00E32589"/>
    <w:rsid w:val="00E33410"/>
    <w:rsid w:val="00E33AF7"/>
    <w:rsid w:val="00E42660"/>
    <w:rsid w:val="00E50C5A"/>
    <w:rsid w:val="00E51F1B"/>
    <w:rsid w:val="00E65277"/>
    <w:rsid w:val="00E66278"/>
    <w:rsid w:val="00E664FD"/>
    <w:rsid w:val="00E70394"/>
    <w:rsid w:val="00E7530C"/>
    <w:rsid w:val="00E77A38"/>
    <w:rsid w:val="00E80CA4"/>
    <w:rsid w:val="00E86814"/>
    <w:rsid w:val="00E948D1"/>
    <w:rsid w:val="00E94A9A"/>
    <w:rsid w:val="00EB6D9C"/>
    <w:rsid w:val="00EB74C7"/>
    <w:rsid w:val="00EC456F"/>
    <w:rsid w:val="00ED1BE1"/>
    <w:rsid w:val="00ED5C0F"/>
    <w:rsid w:val="00ED7AE9"/>
    <w:rsid w:val="00EE2F3B"/>
    <w:rsid w:val="00EE7095"/>
    <w:rsid w:val="00EE7F73"/>
    <w:rsid w:val="00EF27B0"/>
    <w:rsid w:val="00EF4789"/>
    <w:rsid w:val="00EF7395"/>
    <w:rsid w:val="00F10A37"/>
    <w:rsid w:val="00F1447F"/>
    <w:rsid w:val="00F15A71"/>
    <w:rsid w:val="00F213AD"/>
    <w:rsid w:val="00F24357"/>
    <w:rsid w:val="00F35BA4"/>
    <w:rsid w:val="00F40183"/>
    <w:rsid w:val="00F427FD"/>
    <w:rsid w:val="00F42F02"/>
    <w:rsid w:val="00F556C7"/>
    <w:rsid w:val="00F55EB1"/>
    <w:rsid w:val="00F632AE"/>
    <w:rsid w:val="00F64947"/>
    <w:rsid w:val="00F64B32"/>
    <w:rsid w:val="00F672F4"/>
    <w:rsid w:val="00F6794D"/>
    <w:rsid w:val="00F72FBE"/>
    <w:rsid w:val="00F80D79"/>
    <w:rsid w:val="00F8396A"/>
    <w:rsid w:val="00F903AC"/>
    <w:rsid w:val="00F931D6"/>
    <w:rsid w:val="00F9548C"/>
    <w:rsid w:val="00F96CCD"/>
    <w:rsid w:val="00FA5AE5"/>
    <w:rsid w:val="00FA6462"/>
    <w:rsid w:val="00FB71FB"/>
    <w:rsid w:val="00FD3CA0"/>
    <w:rsid w:val="00FD7235"/>
    <w:rsid w:val="00FD75D2"/>
  </w:rsids>
  <m:mathPr>
    <m:mathFont m:val="Cambria Math"/>
    <m:brkBin m:val="before"/>
    <m:brkBinSub m:val="--"/>
    <m:smallFrac m:val="0"/>
    <m:dispDef/>
    <m:lMargin m:val="0"/>
    <m:rMargin m:val="0"/>
    <m:defJc m:val="centerGroup"/>
    <m:wrapRight/>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rankRuehl"/>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spacing w:after="160" w:line="259"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4">
    <w:name w:val="Ruller 4 ממוספר"/>
    <w:basedOn w:val="a"/>
    <w:next w:val="a"/>
    <w:link w:val="Ruller40"/>
    <w:rsid w:val="00F72FBE"/>
    <w:pPr>
      <w:numPr>
        <w:numId w:val="1"/>
      </w:numPr>
      <w:tabs>
        <w:tab w:val="left" w:pos="800"/>
      </w:tabs>
      <w:overflowPunct w:val="0"/>
      <w:autoSpaceDE w:val="0"/>
      <w:autoSpaceDN w:val="0"/>
      <w:adjustRightInd w:val="0"/>
      <w:spacing w:after="0" w:line="360" w:lineRule="auto"/>
      <w:jc w:val="both"/>
      <w:textAlignment w:val="baseline"/>
    </w:pPr>
    <w:rPr>
      <w:rFonts w:ascii="Garamond" w:eastAsia="Times New Roman" w:hAnsi="Garamond"/>
      <w:spacing w:val="10"/>
      <w:sz w:val="24"/>
    </w:rPr>
  </w:style>
  <w:style w:type="character" w:customStyle="1" w:styleId="Ruller40">
    <w:name w:val="Ruller 4 ממוספר תו"/>
    <w:link w:val="Ruller4"/>
    <w:locked/>
    <w:rsid w:val="00F72FBE"/>
    <w:rPr>
      <w:rFonts w:ascii="Garamond" w:eastAsia="Times New Roman" w:hAnsi="Garamond"/>
      <w:spacing w:val="10"/>
      <w:sz w:val="24"/>
      <w:szCs w:val="28"/>
    </w:rPr>
  </w:style>
  <w:style w:type="paragraph" w:customStyle="1" w:styleId="Ruller3">
    <w:name w:val="Ruller 3"/>
    <w:basedOn w:val="a"/>
    <w:rsid w:val="002E7B77"/>
    <w:pPr>
      <w:tabs>
        <w:tab w:val="left" w:pos="3210"/>
        <w:tab w:val="left" w:pos="6753"/>
      </w:tabs>
      <w:overflowPunct w:val="0"/>
      <w:autoSpaceDE w:val="0"/>
      <w:autoSpaceDN w:val="0"/>
      <w:adjustRightInd w:val="0"/>
      <w:spacing w:after="0" w:line="360" w:lineRule="auto"/>
      <w:textAlignment w:val="baseline"/>
    </w:pPr>
    <w:rPr>
      <w:rFonts w:ascii="Times New Roman" w:eastAsia="Times New Roman" w:hAnsi="Times New Roman"/>
      <w:spacing w:val="10"/>
    </w:rPr>
  </w:style>
  <w:style w:type="paragraph" w:customStyle="1" w:styleId="Ruller41">
    <w:name w:val="Ruller4"/>
    <w:basedOn w:val="a"/>
    <w:link w:val="Ruller42"/>
    <w:qFormat/>
    <w:rsid w:val="002E7B77"/>
    <w:pPr>
      <w:tabs>
        <w:tab w:val="left" w:pos="800"/>
      </w:tabs>
      <w:overflowPunct w:val="0"/>
      <w:autoSpaceDE w:val="0"/>
      <w:autoSpaceDN w:val="0"/>
      <w:adjustRightInd w:val="0"/>
      <w:spacing w:after="0" w:line="360" w:lineRule="auto"/>
      <w:jc w:val="both"/>
      <w:textAlignment w:val="baseline"/>
    </w:pPr>
    <w:rPr>
      <w:rFonts w:ascii="Arial TUR" w:eastAsia="Times New Roman" w:hAnsi="Arial TUR"/>
      <w:spacing w:val="10"/>
    </w:rPr>
  </w:style>
  <w:style w:type="character" w:customStyle="1" w:styleId="Ruller42">
    <w:name w:val="Ruller4 תו"/>
    <w:link w:val="Ruller41"/>
    <w:locked/>
    <w:rsid w:val="002E7B77"/>
    <w:rPr>
      <w:rFonts w:ascii="Arial TUR" w:eastAsia="Times New Roman" w:hAnsi="Arial TUR"/>
      <w:spacing w:val="10"/>
      <w:sz w:val="22"/>
      <w:szCs w:val="28"/>
    </w:rPr>
  </w:style>
  <w:style w:type="paragraph" w:styleId="a3">
    <w:name w:val="Balloon Text"/>
    <w:basedOn w:val="a"/>
    <w:link w:val="a4"/>
    <w:uiPriority w:val="99"/>
    <w:semiHidden/>
    <w:unhideWhenUsed/>
    <w:rsid w:val="00947F43"/>
    <w:pPr>
      <w:spacing w:after="0" w:line="240" w:lineRule="auto"/>
    </w:pPr>
    <w:rPr>
      <w:rFonts w:ascii="Tahoma" w:hAnsi="Tahoma" w:cs="Tahoma"/>
      <w:sz w:val="18"/>
      <w:szCs w:val="18"/>
    </w:rPr>
  </w:style>
  <w:style w:type="character" w:customStyle="1" w:styleId="a4">
    <w:name w:val="טקסט בלונים תו"/>
    <w:link w:val="a3"/>
    <w:uiPriority w:val="99"/>
    <w:semiHidden/>
    <w:rsid w:val="00947F43"/>
    <w:rPr>
      <w:rFonts w:ascii="Tahoma" w:hAnsi="Tahoma" w:cs="Tahoma"/>
      <w:sz w:val="18"/>
      <w:szCs w:val="18"/>
    </w:rPr>
  </w:style>
  <w:style w:type="paragraph" w:styleId="a5">
    <w:name w:val="header"/>
    <w:basedOn w:val="a"/>
    <w:link w:val="a6"/>
    <w:uiPriority w:val="99"/>
    <w:unhideWhenUsed/>
    <w:rsid w:val="00A964EC"/>
    <w:pPr>
      <w:tabs>
        <w:tab w:val="center" w:pos="4153"/>
        <w:tab w:val="right" w:pos="8306"/>
      </w:tabs>
      <w:spacing w:after="0" w:line="240" w:lineRule="auto"/>
    </w:pPr>
  </w:style>
  <w:style w:type="character" w:customStyle="1" w:styleId="a6">
    <w:name w:val="כותרת עליונה תו"/>
    <w:basedOn w:val="a0"/>
    <w:link w:val="a5"/>
    <w:uiPriority w:val="99"/>
    <w:rsid w:val="00A964EC"/>
    <w:rPr>
      <w:sz w:val="22"/>
      <w:szCs w:val="28"/>
    </w:rPr>
  </w:style>
  <w:style w:type="paragraph" w:styleId="a7">
    <w:name w:val="footer"/>
    <w:basedOn w:val="a"/>
    <w:link w:val="a8"/>
    <w:uiPriority w:val="99"/>
    <w:unhideWhenUsed/>
    <w:rsid w:val="00A964EC"/>
    <w:pPr>
      <w:tabs>
        <w:tab w:val="center" w:pos="4153"/>
        <w:tab w:val="right" w:pos="8306"/>
      </w:tabs>
      <w:spacing w:after="0" w:line="240" w:lineRule="auto"/>
    </w:pPr>
  </w:style>
  <w:style w:type="character" w:customStyle="1" w:styleId="a8">
    <w:name w:val="כותרת תחתונה תו"/>
    <w:basedOn w:val="a0"/>
    <w:link w:val="a7"/>
    <w:uiPriority w:val="99"/>
    <w:rsid w:val="00A964EC"/>
    <w:rPr>
      <w:sz w:val="22"/>
      <w:szCs w:val="28"/>
    </w:rPr>
  </w:style>
  <w:style w:type="character" w:styleId="a9">
    <w:name w:val="annotation reference"/>
    <w:basedOn w:val="a0"/>
    <w:semiHidden/>
    <w:unhideWhenUsed/>
    <w:rsid w:val="005623FC"/>
    <w:rPr>
      <w:sz w:val="16"/>
      <w:szCs w:val="16"/>
    </w:rPr>
  </w:style>
  <w:style w:type="paragraph" w:styleId="aa">
    <w:name w:val="annotation text"/>
    <w:basedOn w:val="a"/>
    <w:link w:val="ab"/>
    <w:uiPriority w:val="99"/>
    <w:semiHidden/>
    <w:unhideWhenUsed/>
    <w:rsid w:val="005623FC"/>
    <w:pPr>
      <w:spacing w:line="240" w:lineRule="auto"/>
    </w:pPr>
    <w:rPr>
      <w:sz w:val="20"/>
      <w:szCs w:val="20"/>
    </w:rPr>
  </w:style>
  <w:style w:type="character" w:customStyle="1" w:styleId="ab">
    <w:name w:val="טקסט הערה תו"/>
    <w:basedOn w:val="a0"/>
    <w:link w:val="aa"/>
    <w:uiPriority w:val="99"/>
    <w:semiHidden/>
    <w:rsid w:val="005623FC"/>
  </w:style>
  <w:style w:type="paragraph" w:styleId="ac">
    <w:name w:val="annotation subject"/>
    <w:basedOn w:val="aa"/>
    <w:next w:val="aa"/>
    <w:link w:val="ad"/>
    <w:uiPriority w:val="99"/>
    <w:semiHidden/>
    <w:unhideWhenUsed/>
    <w:rsid w:val="005623FC"/>
    <w:rPr>
      <w:b/>
      <w:bCs/>
    </w:rPr>
  </w:style>
  <w:style w:type="character" w:customStyle="1" w:styleId="ad">
    <w:name w:val="נושא הערה תו"/>
    <w:basedOn w:val="ab"/>
    <w:link w:val="ac"/>
    <w:uiPriority w:val="99"/>
    <w:semiHidden/>
    <w:rsid w:val="005623FC"/>
    <w:rPr>
      <w:b/>
      <w:bCs/>
    </w:rPr>
  </w:style>
  <w:style w:type="paragraph" w:customStyle="1" w:styleId="FirstpagestylePsakdin">
    <w:name w:val="First page style Psak din"/>
    <w:basedOn w:val="Ruller3"/>
    <w:rsid w:val="006C62BB"/>
    <w:pPr>
      <w:tabs>
        <w:tab w:val="clear" w:pos="3210"/>
        <w:tab w:val="left" w:pos="3209"/>
      </w:tabs>
    </w:pPr>
    <w:rPr>
      <w:bCs/>
    </w:rPr>
  </w:style>
  <w:style w:type="character" w:styleId="Hyperlink">
    <w:name w:val="Hyperlink"/>
    <w:uiPriority w:val="99"/>
    <w:rsid w:val="006C62BB"/>
    <w:rPr>
      <w:color w:val="0000FF"/>
      <w:u w:val="single"/>
    </w:rPr>
  </w:style>
  <w:style w:type="paragraph" w:styleId="ae">
    <w:name w:val="Plain Text"/>
    <w:basedOn w:val="a"/>
    <w:link w:val="af"/>
    <w:uiPriority w:val="99"/>
    <w:semiHidden/>
    <w:unhideWhenUsed/>
    <w:rsid w:val="009178B6"/>
    <w:pPr>
      <w:spacing w:after="0" w:line="240" w:lineRule="auto"/>
    </w:pPr>
    <w:rPr>
      <w:rFonts w:eastAsiaTheme="minorHAnsi" w:cstheme="minorBidi"/>
      <w:szCs w:val="21"/>
    </w:rPr>
  </w:style>
  <w:style w:type="character" w:customStyle="1" w:styleId="af">
    <w:name w:val="טקסט רגיל תו"/>
    <w:basedOn w:val="a0"/>
    <w:link w:val="ae"/>
    <w:uiPriority w:val="99"/>
    <w:semiHidden/>
    <w:rsid w:val="009178B6"/>
    <w:rPr>
      <w:rFonts w:eastAsiaTheme="minorHAnsi" w:cstheme="minorBidi"/>
      <w:sz w:val="22"/>
      <w:szCs w:val="21"/>
    </w:rPr>
  </w:style>
  <w:style w:type="paragraph" w:customStyle="1" w:styleId="Ruller5">
    <w:name w:val="Ruller5"/>
    <w:basedOn w:val="a"/>
    <w:link w:val="Ruller50"/>
    <w:rsid w:val="00F213AD"/>
    <w:pPr>
      <w:overflowPunct w:val="0"/>
      <w:autoSpaceDE w:val="0"/>
      <w:autoSpaceDN w:val="0"/>
      <w:adjustRightInd w:val="0"/>
      <w:spacing w:after="0" w:line="240" w:lineRule="auto"/>
      <w:ind w:left="1642" w:right="1282"/>
      <w:jc w:val="both"/>
      <w:textAlignment w:val="baseline"/>
    </w:pPr>
    <w:rPr>
      <w:rFonts w:ascii="Arial TUR" w:eastAsia="Times New Roman" w:hAnsi="Arial TUR"/>
      <w:spacing w:val="10"/>
    </w:rPr>
  </w:style>
  <w:style w:type="character" w:customStyle="1" w:styleId="Ruller50">
    <w:name w:val="Ruller5 תו"/>
    <w:link w:val="Ruller5"/>
    <w:rsid w:val="00A7630E"/>
    <w:rPr>
      <w:rFonts w:ascii="Arial TUR" w:eastAsia="Times New Roman" w:hAnsi="Arial TUR"/>
      <w:spacing w:val="10"/>
      <w:sz w:val="22"/>
      <w:szCs w:val="28"/>
    </w:rPr>
  </w:style>
  <w:style w:type="paragraph" w:customStyle="1" w:styleId="BodyRuller">
    <w:name w:val="Body Ruller"/>
    <w:basedOn w:val="a"/>
    <w:rsid w:val="006527D4"/>
    <w:pPr>
      <w:overflowPunct w:val="0"/>
      <w:autoSpaceDE w:val="0"/>
      <w:autoSpaceDN w:val="0"/>
      <w:adjustRightInd w:val="0"/>
      <w:spacing w:after="0" w:line="240" w:lineRule="auto"/>
      <w:textAlignment w:val="baseline"/>
    </w:pPr>
    <w:rPr>
      <w:rFonts w:ascii="Times New Roman" w:eastAsia="Times New Roman" w:hAnsi="Times New Roman" w:cs="Dav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591238">
      <w:bodyDiv w:val="1"/>
      <w:marLeft w:val="0"/>
      <w:marRight w:val="0"/>
      <w:marTop w:val="0"/>
      <w:marBottom w:val="0"/>
      <w:divBdr>
        <w:top w:val="none" w:sz="0" w:space="0" w:color="auto"/>
        <w:left w:val="none" w:sz="0" w:space="0" w:color="auto"/>
        <w:bottom w:val="none" w:sz="0" w:space="0" w:color="auto"/>
        <w:right w:val="none" w:sz="0" w:space="0" w:color="auto"/>
      </w:divBdr>
    </w:div>
    <w:div w:id="1143697076">
      <w:bodyDiv w:val="1"/>
      <w:marLeft w:val="0"/>
      <w:marRight w:val="0"/>
      <w:marTop w:val="0"/>
      <w:marBottom w:val="0"/>
      <w:divBdr>
        <w:top w:val="none" w:sz="0" w:space="0" w:color="auto"/>
        <w:left w:val="none" w:sz="0" w:space="0" w:color="auto"/>
        <w:bottom w:val="none" w:sz="0" w:space="0" w:color="auto"/>
        <w:right w:val="none" w:sz="0" w:space="0" w:color="auto"/>
      </w:divBdr>
    </w:div>
    <w:div w:id="1280066259">
      <w:bodyDiv w:val="1"/>
      <w:marLeft w:val="0"/>
      <w:marRight w:val="0"/>
      <w:marTop w:val="0"/>
      <w:marBottom w:val="0"/>
      <w:divBdr>
        <w:top w:val="none" w:sz="0" w:space="0" w:color="auto"/>
        <w:left w:val="none" w:sz="0" w:space="0" w:color="auto"/>
        <w:bottom w:val="none" w:sz="0" w:space="0" w:color="auto"/>
        <w:right w:val="none" w:sz="0" w:space="0" w:color="auto"/>
      </w:divBdr>
    </w:div>
    <w:div w:id="1362243086">
      <w:bodyDiv w:val="1"/>
      <w:marLeft w:val="0"/>
      <w:marRight w:val="0"/>
      <w:marTop w:val="0"/>
      <w:marBottom w:val="0"/>
      <w:divBdr>
        <w:top w:val="none" w:sz="0" w:space="0" w:color="auto"/>
        <w:left w:val="none" w:sz="0" w:space="0" w:color="auto"/>
        <w:bottom w:val="none" w:sz="0" w:space="0" w:color="auto"/>
        <w:right w:val="none" w:sz="0" w:space="0" w:color="auto"/>
      </w:divBdr>
    </w:div>
    <w:div w:id="1772047811">
      <w:bodyDiv w:val="1"/>
      <w:marLeft w:val="0"/>
      <w:marRight w:val="0"/>
      <w:marTop w:val="0"/>
      <w:marBottom w:val="0"/>
      <w:divBdr>
        <w:top w:val="none" w:sz="0" w:space="0" w:color="auto"/>
        <w:left w:val="none" w:sz="0" w:space="0" w:color="auto"/>
        <w:bottom w:val="none" w:sz="0" w:space="0" w:color="auto"/>
        <w:right w:val="none" w:sz="0" w:space="0" w:color="auto"/>
      </w:divBdr>
    </w:div>
    <w:div w:id="1837719088">
      <w:bodyDiv w:val="1"/>
      <w:marLeft w:val="0"/>
      <w:marRight w:val="0"/>
      <w:marTop w:val="0"/>
      <w:marBottom w:val="0"/>
      <w:divBdr>
        <w:top w:val="none" w:sz="0" w:space="0" w:color="auto"/>
        <w:left w:val="none" w:sz="0" w:space="0" w:color="auto"/>
        <w:bottom w:val="none" w:sz="0" w:space="0" w:color="auto"/>
        <w:right w:val="none" w:sz="0" w:space="0" w:color="auto"/>
      </w:divBdr>
      <w:divsChild>
        <w:div w:id="1824201249">
          <w:marLeft w:val="0"/>
          <w:marRight w:val="0"/>
          <w:marTop w:val="0"/>
          <w:marBottom w:val="0"/>
          <w:divBdr>
            <w:top w:val="none" w:sz="0" w:space="0" w:color="auto"/>
            <w:left w:val="none" w:sz="0" w:space="0" w:color="auto"/>
            <w:bottom w:val="none" w:sz="0" w:space="0" w:color="auto"/>
            <w:right w:val="none" w:sz="0" w:space="0" w:color="auto"/>
          </w:divBdr>
          <w:divsChild>
            <w:div w:id="1500467112">
              <w:marLeft w:val="0"/>
              <w:marRight w:val="0"/>
              <w:marTop w:val="0"/>
              <w:marBottom w:val="0"/>
              <w:divBdr>
                <w:top w:val="none" w:sz="0" w:space="0" w:color="auto"/>
                <w:left w:val="none" w:sz="0" w:space="0" w:color="auto"/>
                <w:bottom w:val="none" w:sz="0" w:space="0" w:color="auto"/>
                <w:right w:val="none" w:sz="0" w:space="0" w:color="auto"/>
              </w:divBdr>
              <w:divsChild>
                <w:div w:id="1310675769">
                  <w:marLeft w:val="0"/>
                  <w:marRight w:val="0"/>
                  <w:marTop w:val="120"/>
                  <w:marBottom w:val="0"/>
                  <w:divBdr>
                    <w:top w:val="none" w:sz="0" w:space="0" w:color="auto"/>
                    <w:left w:val="none" w:sz="0" w:space="0" w:color="auto"/>
                    <w:bottom w:val="none" w:sz="0" w:space="0" w:color="auto"/>
                    <w:right w:val="none" w:sz="0" w:space="0" w:color="auto"/>
                  </w:divBdr>
                  <w:divsChild>
                    <w:div w:id="162261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8732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801</Words>
  <Characters>4008</Characters>
  <Application>Microsoft Office Word</Application>
  <DocSecurity>0</DocSecurity>
  <Lines>33</Lines>
  <Paragraphs>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2023-12-28T14:02:00Z</dcterms:created>
  <dcterms:modified xsi:type="dcterms:W3CDTF">2023-12-28T14:02:00Z</dcterms:modified>
</cp:coreProperties>
</file>